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E945" w14:textId="3634AF87" w:rsidR="00D821EB" w:rsidRDefault="00D821EB" w:rsidP="00551C9C">
      <w:pPr>
        <w:spacing w:after="0" w:line="240" w:lineRule="auto"/>
        <w:jc w:val="center"/>
        <w:rPr>
          <w:b/>
          <w:color w:val="0070C0"/>
          <w:sz w:val="28"/>
        </w:rPr>
      </w:pPr>
    </w:p>
    <w:p w14:paraId="5B116533" w14:textId="219AD70F" w:rsidR="00F9149F" w:rsidRDefault="003D3AD4" w:rsidP="008E6607">
      <w:pPr>
        <w:spacing w:after="0" w:line="240" w:lineRule="auto"/>
        <w:jc w:val="center"/>
        <w:rPr>
          <w:b/>
          <w:color w:val="0070C0"/>
          <w:sz w:val="28"/>
        </w:rPr>
      </w:pPr>
      <w:r>
        <w:rPr>
          <w:b/>
          <w:color w:val="0070C0"/>
          <w:sz w:val="28"/>
        </w:rPr>
        <w:t xml:space="preserve">Consultation </w:t>
      </w:r>
      <w:r w:rsidR="00D821EB">
        <w:rPr>
          <w:b/>
          <w:color w:val="0070C0"/>
          <w:sz w:val="28"/>
        </w:rPr>
        <w:t xml:space="preserve">on </w:t>
      </w:r>
      <w:r w:rsidR="00BD0B27" w:rsidRPr="0045347E">
        <w:rPr>
          <w:b/>
          <w:color w:val="0070C0"/>
          <w:sz w:val="28"/>
        </w:rPr>
        <w:t>SDG Indicator</w:t>
      </w:r>
      <w:r w:rsidR="00496525">
        <w:rPr>
          <w:b/>
          <w:color w:val="0070C0"/>
          <w:sz w:val="28"/>
        </w:rPr>
        <w:t xml:space="preserve"> 17.14.1</w:t>
      </w:r>
      <w:r>
        <w:rPr>
          <w:b/>
          <w:color w:val="0070C0"/>
          <w:sz w:val="28"/>
        </w:rPr>
        <w:t>: Policy Coherence Mechanisms</w:t>
      </w:r>
    </w:p>
    <w:p w14:paraId="4C3922AE" w14:textId="0A419863" w:rsidR="00A93C68" w:rsidRDefault="00A93C68" w:rsidP="008E6607">
      <w:pPr>
        <w:spacing w:after="0" w:line="240" w:lineRule="auto"/>
        <w:jc w:val="center"/>
        <w:rPr>
          <w:b/>
          <w:color w:val="0070C0"/>
          <w:sz w:val="28"/>
        </w:rPr>
      </w:pPr>
      <w:r>
        <w:rPr>
          <w:b/>
          <w:color w:val="0070C0"/>
          <w:sz w:val="28"/>
        </w:rPr>
        <w:t>Nairobi, Kenya</w:t>
      </w:r>
    </w:p>
    <w:p w14:paraId="5960908C" w14:textId="5C304BC6" w:rsidR="00A93C68" w:rsidRDefault="00A93C68" w:rsidP="008E6607">
      <w:pPr>
        <w:spacing w:after="0" w:line="240" w:lineRule="auto"/>
        <w:jc w:val="center"/>
        <w:rPr>
          <w:b/>
          <w:color w:val="0070C0"/>
          <w:sz w:val="28"/>
        </w:rPr>
      </w:pPr>
      <w:r>
        <w:rPr>
          <w:b/>
          <w:color w:val="0070C0"/>
          <w:sz w:val="28"/>
        </w:rPr>
        <w:t>Lord Erroll, 89 Ruaka Road, Gigiri</w:t>
      </w:r>
    </w:p>
    <w:p w14:paraId="6BCB4DA1" w14:textId="35CC2B44" w:rsidR="00A93C68" w:rsidRPr="0045347E" w:rsidRDefault="00A93C68" w:rsidP="008E6607">
      <w:pPr>
        <w:spacing w:after="0" w:line="240" w:lineRule="auto"/>
        <w:jc w:val="center"/>
        <w:rPr>
          <w:b/>
          <w:color w:val="0070C0"/>
          <w:sz w:val="28"/>
        </w:rPr>
      </w:pPr>
      <w:r>
        <w:rPr>
          <w:b/>
          <w:color w:val="0070C0"/>
          <w:sz w:val="28"/>
        </w:rPr>
        <w:t>9</w:t>
      </w:r>
      <w:r w:rsidRPr="00A93C68">
        <w:rPr>
          <w:b/>
          <w:color w:val="0070C0"/>
          <w:sz w:val="28"/>
          <w:vertAlign w:val="superscript"/>
        </w:rPr>
        <w:t>th</w:t>
      </w:r>
      <w:r>
        <w:rPr>
          <w:b/>
          <w:color w:val="0070C0"/>
          <w:sz w:val="28"/>
        </w:rPr>
        <w:t xml:space="preserve"> January 2020</w:t>
      </w:r>
    </w:p>
    <w:p w14:paraId="5133DB64" w14:textId="5B461C4B" w:rsidR="00D821EB" w:rsidRPr="00A93C68" w:rsidRDefault="00D821EB" w:rsidP="003D3AD4">
      <w:pPr>
        <w:spacing w:after="0" w:line="240" w:lineRule="auto"/>
        <w:jc w:val="center"/>
        <w:rPr>
          <w:iCs/>
          <w:color w:val="0070C0"/>
          <w:sz w:val="24"/>
          <w:lang w:val="en-GB"/>
        </w:rPr>
      </w:pPr>
    </w:p>
    <w:p w14:paraId="4FBAD3D5" w14:textId="411018F9" w:rsidR="0057763A" w:rsidRPr="0045347E" w:rsidRDefault="0057763A" w:rsidP="00551C9C">
      <w:pPr>
        <w:spacing w:after="0" w:line="240" w:lineRule="auto"/>
        <w:jc w:val="center"/>
        <w:rPr>
          <w:b/>
          <w:color w:val="0070C0"/>
          <w:sz w:val="28"/>
        </w:rPr>
      </w:pPr>
      <w:r w:rsidRPr="0045347E">
        <w:rPr>
          <w:b/>
          <w:color w:val="0070C0"/>
          <w:sz w:val="28"/>
        </w:rPr>
        <w:t>Agenda</w:t>
      </w:r>
    </w:p>
    <w:p w14:paraId="1B222AA6" w14:textId="77777777" w:rsidR="001620ED" w:rsidRDefault="001620ED" w:rsidP="00551C9C">
      <w:pPr>
        <w:spacing w:after="0" w:line="240" w:lineRule="auto"/>
        <w:rPr>
          <w:b/>
        </w:rPr>
      </w:pPr>
    </w:p>
    <w:p w14:paraId="7CF19107" w14:textId="7B54BFD1" w:rsidR="008A7A9C" w:rsidRPr="00CE360E" w:rsidRDefault="008A7A9C" w:rsidP="000C5437">
      <w:pPr>
        <w:spacing w:after="0" w:line="240" w:lineRule="auto"/>
        <w:rPr>
          <w:rFonts w:cstheme="minorHAnsi"/>
          <w:b/>
          <w:color w:val="4F81BD" w:themeColor="accent1"/>
          <w:sz w:val="24"/>
        </w:rPr>
      </w:pPr>
      <w:r w:rsidRPr="00CE360E">
        <w:rPr>
          <w:rFonts w:cstheme="minorHAnsi"/>
          <w:b/>
          <w:color w:val="4F81BD" w:themeColor="accent1"/>
          <w:sz w:val="24"/>
        </w:rPr>
        <w:t>Background</w:t>
      </w:r>
    </w:p>
    <w:p w14:paraId="4A30F671" w14:textId="7A71DB28" w:rsidR="000C5437" w:rsidRDefault="00C17BCD" w:rsidP="000C5437">
      <w:pPr>
        <w:spacing w:after="0" w:line="240" w:lineRule="auto"/>
        <w:rPr>
          <w:rFonts w:cstheme="minorHAnsi"/>
          <w:b/>
        </w:rPr>
      </w:pPr>
      <w:r w:rsidRPr="000C5437">
        <w:rPr>
          <w:rFonts w:cstheme="minorHAnsi"/>
        </w:rPr>
        <w:t>In September 2015, the United Nations Sustainable Development Summit adopted a new framework to guide development efforts between 2015 and 2030, entitled “Transforming our world: the 2030 Agenda</w:t>
      </w:r>
      <w:r w:rsidR="000C5437" w:rsidRPr="000C5437">
        <w:rPr>
          <w:rFonts w:cstheme="minorHAnsi"/>
        </w:rPr>
        <w:t xml:space="preserve"> for sustainable development”. </w:t>
      </w:r>
      <w:r w:rsidRPr="000C5437">
        <w:rPr>
          <w:rFonts w:cstheme="minorHAnsi"/>
        </w:rPr>
        <w:t>The 2030 Agenda contains 17 Sustainable Development Goals (SDGs), divided into 169 targets, which are informed by 244 Indicators. Sustainable Development Goal 17 covers partnerships and means of implementation to achieve the goals. In this respect, mechanisms for policy coherence are identified as an important aspect</w:t>
      </w:r>
      <w:r w:rsidR="000C5437" w:rsidRPr="000C5437">
        <w:rPr>
          <w:rFonts w:cstheme="minorHAnsi"/>
        </w:rPr>
        <w:t xml:space="preserve"> of means of implementation with </w:t>
      </w:r>
      <w:r w:rsidR="000C5437" w:rsidRPr="000C5437">
        <w:rPr>
          <w:rFonts w:cstheme="minorHAnsi"/>
          <w:b/>
        </w:rPr>
        <w:t xml:space="preserve">Indicator 17.14.1 </w:t>
      </w:r>
      <w:r w:rsidR="000C5437" w:rsidRPr="000C5437">
        <w:rPr>
          <w:rFonts w:cstheme="minorHAnsi"/>
        </w:rPr>
        <w:t>measuring the</w:t>
      </w:r>
      <w:r w:rsidR="000C5437" w:rsidRPr="000C5437">
        <w:rPr>
          <w:rFonts w:cstheme="minorHAnsi"/>
          <w:b/>
        </w:rPr>
        <w:t xml:space="preserve"> “number of countries with mechanisms in place to enhance policy coherence of sustainable development”. </w:t>
      </w:r>
    </w:p>
    <w:p w14:paraId="1FF56CE9" w14:textId="77777777" w:rsidR="000C5437" w:rsidRPr="000C5437" w:rsidRDefault="000C5437" w:rsidP="000C5437">
      <w:pPr>
        <w:spacing w:after="0" w:line="240" w:lineRule="auto"/>
        <w:rPr>
          <w:rFonts w:cstheme="minorHAnsi"/>
          <w:b/>
        </w:rPr>
      </w:pPr>
    </w:p>
    <w:p w14:paraId="3ABA3B64" w14:textId="77777777" w:rsidR="000C5437" w:rsidRPr="000C5437" w:rsidRDefault="000C5437" w:rsidP="000C5437">
      <w:pPr>
        <w:spacing w:after="0" w:line="240" w:lineRule="auto"/>
        <w:rPr>
          <w:rFonts w:cstheme="minorHAnsi"/>
        </w:rPr>
      </w:pPr>
      <w:r w:rsidRPr="000C5437">
        <w:rPr>
          <w:rFonts w:cstheme="minorHAnsi"/>
        </w:rPr>
        <w:t>Promoting policy coherence for sustainable development is important in several ways, including for achieving sustainable development in its three dimensions (economic, social and environmental) in a balanced and integrated manner; for ensuring coherence between policies at various levels of government; and for ensuring that policies in different sectors are mutually supportive and do not work against each other. It is also important in addressing the impacts of domestic policy internationally.</w:t>
      </w:r>
    </w:p>
    <w:p w14:paraId="15853476" w14:textId="323A5122" w:rsidR="000C5437" w:rsidRDefault="000C5437" w:rsidP="000C5437">
      <w:pPr>
        <w:spacing w:after="0" w:line="240" w:lineRule="auto"/>
        <w:rPr>
          <w:rFonts w:cstheme="minorHAnsi"/>
        </w:rPr>
      </w:pPr>
      <w:r w:rsidRPr="000C5437">
        <w:rPr>
          <w:rFonts w:cstheme="minorHAnsi"/>
        </w:rPr>
        <w:t>Policy coherence aims, as a minimum, to identify trade-offs and mitigate negative impacts between policies. At a more ambitious level, it should also aim to foster synergies and produce policies that mutually reinforce each other.</w:t>
      </w:r>
    </w:p>
    <w:p w14:paraId="02475D06" w14:textId="77777777" w:rsidR="000C5437" w:rsidRPr="000C5437" w:rsidRDefault="000C5437" w:rsidP="000C5437">
      <w:pPr>
        <w:spacing w:after="0" w:line="240" w:lineRule="auto"/>
        <w:rPr>
          <w:rFonts w:cstheme="minorHAnsi"/>
        </w:rPr>
      </w:pPr>
    </w:p>
    <w:p w14:paraId="0DB54288" w14:textId="255FFCBD" w:rsidR="00C17BCD" w:rsidRDefault="00C17BCD" w:rsidP="000C5437">
      <w:pPr>
        <w:spacing w:after="0" w:line="240" w:lineRule="auto"/>
        <w:rPr>
          <w:rFonts w:cstheme="minorHAnsi"/>
        </w:rPr>
      </w:pPr>
      <w:r w:rsidRPr="000C5437">
        <w:rPr>
          <w:rFonts w:cstheme="minorHAnsi"/>
        </w:rPr>
        <w:t xml:space="preserve">The development of indicators takes place under the umbrella of the Inter-agency and Expert Group on Sustainable Development Goal Indicators (IAEG-SDGs), which currently classifies indicator 17.14.1 as a Tier III indicator, which means it does not yet have an internationally recognized methodology. The Indicator is under the custodianship of UN Environment. As part of this responsibility as custodian agency, it is tasked with leading the methodological development of the indicator, as well as overseeing the data collection and reporting process up to 2030. </w:t>
      </w:r>
    </w:p>
    <w:p w14:paraId="6E6FAD2F" w14:textId="77777777" w:rsidR="000C5437" w:rsidRPr="000C5437" w:rsidRDefault="000C5437" w:rsidP="000C5437">
      <w:pPr>
        <w:spacing w:after="0" w:line="240" w:lineRule="auto"/>
        <w:rPr>
          <w:rFonts w:cstheme="minorHAnsi"/>
        </w:rPr>
      </w:pPr>
    </w:p>
    <w:p w14:paraId="7DC60F67" w14:textId="4D53CBB3" w:rsidR="00C17BCD" w:rsidRDefault="00C17BCD" w:rsidP="000C5437">
      <w:pPr>
        <w:spacing w:after="0" w:line="240" w:lineRule="auto"/>
        <w:rPr>
          <w:rFonts w:cstheme="minorHAnsi"/>
        </w:rPr>
      </w:pPr>
      <w:r w:rsidRPr="000C5437">
        <w:rPr>
          <w:rFonts w:cstheme="minorHAnsi"/>
        </w:rPr>
        <w:t xml:space="preserve">To support the development of the methodology, UN Environment </w:t>
      </w:r>
      <w:r w:rsidR="000C5437" w:rsidRPr="000C5437">
        <w:rPr>
          <w:rFonts w:cstheme="minorHAnsi"/>
        </w:rPr>
        <w:t xml:space="preserve">established an </w:t>
      </w:r>
      <w:r w:rsidRPr="000C5437">
        <w:rPr>
          <w:rFonts w:cstheme="minorHAnsi"/>
        </w:rPr>
        <w:t xml:space="preserve">International Expert Group, comprised of experts from relevant UN agencies, national governments, research organisations, and academia/individual experts. </w:t>
      </w:r>
    </w:p>
    <w:p w14:paraId="22BA73F6" w14:textId="77777777" w:rsidR="000C5437" w:rsidRPr="000C5437" w:rsidRDefault="000C5437" w:rsidP="000C5437">
      <w:pPr>
        <w:spacing w:after="0" w:line="240" w:lineRule="auto"/>
        <w:rPr>
          <w:rFonts w:cstheme="minorHAnsi"/>
        </w:rPr>
      </w:pPr>
    </w:p>
    <w:p w14:paraId="60C0ECA8" w14:textId="00763E01" w:rsidR="000C5437" w:rsidRDefault="000C5437" w:rsidP="001972D7">
      <w:pPr>
        <w:spacing w:after="0" w:line="240" w:lineRule="auto"/>
        <w:rPr>
          <w:rFonts w:cstheme="minorHAnsi"/>
        </w:rPr>
      </w:pPr>
      <w:r>
        <w:rPr>
          <w:rFonts w:cstheme="minorHAnsi"/>
        </w:rPr>
        <w:t xml:space="preserve">The Group has developed a draft methodology for the indicator which </w:t>
      </w:r>
      <w:r w:rsidR="004979A8" w:rsidRPr="000C5437">
        <w:rPr>
          <w:rFonts w:cstheme="minorHAnsi"/>
        </w:rPr>
        <w:t>a</w:t>
      </w:r>
      <w:r>
        <w:rPr>
          <w:rFonts w:cstheme="minorHAnsi"/>
        </w:rPr>
        <w:t>ttempts to capture the various types</w:t>
      </w:r>
      <w:r w:rsidR="004979A8" w:rsidRPr="000C5437">
        <w:rPr>
          <w:rFonts w:cstheme="minorHAnsi"/>
        </w:rPr>
        <w:t xml:space="preserve"> of policy coherence</w:t>
      </w:r>
      <w:r w:rsidR="001972D7">
        <w:rPr>
          <w:rFonts w:cstheme="minorHAnsi"/>
        </w:rPr>
        <w:t xml:space="preserve">.  </w:t>
      </w:r>
      <w:r w:rsidR="004979A8" w:rsidRPr="000C5437">
        <w:rPr>
          <w:rFonts w:cstheme="minorHAnsi"/>
        </w:rPr>
        <w:t>The mechanisms put in place to achieve the above may take different forms, in terms of their structures, processes and actors involved</w:t>
      </w:r>
      <w:r>
        <w:rPr>
          <w:rFonts w:cstheme="minorHAnsi"/>
        </w:rPr>
        <w:t xml:space="preserve">. The main types of policy coherence mechanisms identified by the group are captured in the following </w:t>
      </w:r>
      <w:r w:rsidR="00134887">
        <w:rPr>
          <w:rFonts w:cstheme="minorHAnsi"/>
        </w:rPr>
        <w:t>table</w:t>
      </w:r>
      <w:r>
        <w:rPr>
          <w:rFonts w:cstheme="minorHAnsi"/>
        </w:rPr>
        <w:t>:</w:t>
      </w:r>
    </w:p>
    <w:p w14:paraId="533557BF" w14:textId="40741ABF" w:rsidR="001972D7" w:rsidRDefault="001972D7" w:rsidP="001972D7">
      <w:pPr>
        <w:spacing w:after="0" w:line="240" w:lineRule="auto"/>
        <w:rPr>
          <w:rFonts w:cstheme="minorHAnsi"/>
        </w:rPr>
      </w:pPr>
    </w:p>
    <w:p w14:paraId="4132E6F5" w14:textId="58D3091D" w:rsidR="001972D7" w:rsidRDefault="001972D7" w:rsidP="001972D7">
      <w:pPr>
        <w:spacing w:after="0" w:line="240" w:lineRule="auto"/>
        <w:rPr>
          <w:rFonts w:cstheme="minorHAnsi"/>
        </w:rPr>
      </w:pPr>
    </w:p>
    <w:p w14:paraId="33117BA5" w14:textId="40C1482D" w:rsidR="001972D7" w:rsidRDefault="001972D7" w:rsidP="001972D7">
      <w:pPr>
        <w:spacing w:after="0" w:line="240" w:lineRule="auto"/>
        <w:rPr>
          <w:rFonts w:cstheme="minorHAnsi"/>
        </w:rPr>
      </w:pPr>
    </w:p>
    <w:p w14:paraId="51FABB04" w14:textId="1AE56C09" w:rsidR="001972D7" w:rsidRDefault="001972D7" w:rsidP="001972D7">
      <w:pPr>
        <w:spacing w:after="0" w:line="240" w:lineRule="auto"/>
        <w:rPr>
          <w:rFonts w:cstheme="minorHAnsi"/>
        </w:rPr>
      </w:pPr>
    </w:p>
    <w:p w14:paraId="6E6E581A" w14:textId="1A36DE8D" w:rsidR="001972D7" w:rsidRDefault="001972D7" w:rsidP="001972D7">
      <w:pPr>
        <w:spacing w:after="0" w:line="240" w:lineRule="auto"/>
        <w:rPr>
          <w:rFonts w:cstheme="minorHAnsi"/>
        </w:rPr>
      </w:pPr>
    </w:p>
    <w:p w14:paraId="46047980" w14:textId="34B5F8C5" w:rsidR="001972D7" w:rsidRDefault="001972D7" w:rsidP="001972D7">
      <w:pPr>
        <w:spacing w:after="0" w:line="240" w:lineRule="auto"/>
        <w:rPr>
          <w:rFonts w:cstheme="minorHAnsi"/>
        </w:rPr>
      </w:pPr>
    </w:p>
    <w:p w14:paraId="44156C2B" w14:textId="04E375DB" w:rsidR="001972D7" w:rsidRDefault="001972D7" w:rsidP="001972D7">
      <w:pPr>
        <w:spacing w:after="0" w:line="240" w:lineRule="auto"/>
        <w:rPr>
          <w:rFonts w:cstheme="minorHAnsi"/>
        </w:rPr>
      </w:pPr>
    </w:p>
    <w:p w14:paraId="252D09EF" w14:textId="77777777" w:rsidR="001972D7" w:rsidRDefault="001972D7" w:rsidP="001972D7">
      <w:pPr>
        <w:spacing w:after="0" w:line="240" w:lineRule="auto"/>
        <w:rPr>
          <w:rFonts w:cstheme="minorHAnsi"/>
        </w:rPr>
      </w:pPr>
    </w:p>
    <w:p w14:paraId="104F5434" w14:textId="77777777" w:rsidR="00134887" w:rsidRDefault="00134887" w:rsidP="000C5437">
      <w:pPr>
        <w:spacing w:after="0" w:line="240" w:lineRule="auto"/>
        <w:contextualSpacing/>
        <w:rPr>
          <w:rFonts w:cstheme="minorHAnsi"/>
        </w:rPr>
      </w:pPr>
    </w:p>
    <w:tbl>
      <w:tblPr>
        <w:tblStyle w:val="TableGrid"/>
        <w:tblW w:w="0" w:type="auto"/>
        <w:tblLook w:val="04A0" w:firstRow="1" w:lastRow="0" w:firstColumn="1" w:lastColumn="0" w:noHBand="0" w:noVBand="1"/>
      </w:tblPr>
      <w:tblGrid>
        <w:gridCol w:w="2405"/>
        <w:gridCol w:w="2632"/>
        <w:gridCol w:w="2147"/>
        <w:gridCol w:w="2166"/>
      </w:tblGrid>
      <w:tr w:rsidR="00134887" w:rsidRPr="00134887" w14:paraId="578F7B43" w14:textId="77777777" w:rsidTr="00A55A32">
        <w:trPr>
          <w:trHeight w:val="750"/>
        </w:trPr>
        <w:tc>
          <w:tcPr>
            <w:tcW w:w="4960" w:type="dxa"/>
            <w:shd w:val="clear" w:color="auto" w:fill="8DB3E2" w:themeFill="text2" w:themeFillTint="66"/>
            <w:hideMark/>
          </w:tcPr>
          <w:p w14:paraId="79384C5C" w14:textId="77777777" w:rsidR="00134887" w:rsidRPr="00134887" w:rsidRDefault="00134887" w:rsidP="00A55A32">
            <w:pPr>
              <w:contextualSpacing/>
              <w:rPr>
                <w:rFonts w:cstheme="minorHAnsi"/>
                <w:b/>
                <w:bCs/>
                <w:sz w:val="20"/>
              </w:rPr>
            </w:pPr>
            <w:r w:rsidRPr="00134887">
              <w:rPr>
                <w:rFonts w:cstheme="minorHAnsi"/>
                <w:b/>
                <w:bCs/>
                <w:sz w:val="20"/>
              </w:rPr>
              <w:t xml:space="preserve">1. Institutionalization of Political Commitment </w:t>
            </w:r>
          </w:p>
        </w:tc>
        <w:tc>
          <w:tcPr>
            <w:tcW w:w="5620" w:type="dxa"/>
            <w:shd w:val="clear" w:color="auto" w:fill="8DB3E2" w:themeFill="text2" w:themeFillTint="66"/>
            <w:hideMark/>
          </w:tcPr>
          <w:p w14:paraId="7FD66CE3" w14:textId="77777777" w:rsidR="00134887" w:rsidRPr="00134887" w:rsidRDefault="00134887" w:rsidP="00A55A32">
            <w:pPr>
              <w:contextualSpacing/>
              <w:rPr>
                <w:rFonts w:cstheme="minorHAnsi"/>
                <w:b/>
                <w:bCs/>
                <w:sz w:val="20"/>
              </w:rPr>
            </w:pPr>
            <w:r w:rsidRPr="00134887">
              <w:rPr>
                <w:rFonts w:cstheme="minorHAnsi"/>
                <w:b/>
                <w:bCs/>
                <w:sz w:val="20"/>
              </w:rPr>
              <w:t>3.  Inter-ministerial and cross-sectoral coordination</w:t>
            </w:r>
          </w:p>
        </w:tc>
        <w:tc>
          <w:tcPr>
            <w:tcW w:w="5440" w:type="dxa"/>
            <w:shd w:val="clear" w:color="auto" w:fill="8DB3E2" w:themeFill="text2" w:themeFillTint="66"/>
            <w:hideMark/>
          </w:tcPr>
          <w:p w14:paraId="601C5040" w14:textId="77777777" w:rsidR="00134887" w:rsidRPr="00134887" w:rsidRDefault="00134887" w:rsidP="00A55A32">
            <w:pPr>
              <w:contextualSpacing/>
              <w:rPr>
                <w:rFonts w:cstheme="minorHAnsi"/>
                <w:b/>
                <w:bCs/>
                <w:sz w:val="20"/>
              </w:rPr>
            </w:pPr>
            <w:r w:rsidRPr="00134887">
              <w:rPr>
                <w:rFonts w:cstheme="minorHAnsi"/>
                <w:b/>
                <w:bCs/>
                <w:sz w:val="20"/>
              </w:rPr>
              <w:t>5. Policy linkages</w:t>
            </w:r>
          </w:p>
        </w:tc>
        <w:tc>
          <w:tcPr>
            <w:tcW w:w="5540" w:type="dxa"/>
            <w:shd w:val="clear" w:color="auto" w:fill="8DB3E2" w:themeFill="text2" w:themeFillTint="66"/>
            <w:hideMark/>
          </w:tcPr>
          <w:p w14:paraId="393F96F8" w14:textId="77777777" w:rsidR="00134887" w:rsidRPr="00134887" w:rsidRDefault="00134887" w:rsidP="00A55A32">
            <w:pPr>
              <w:contextualSpacing/>
              <w:rPr>
                <w:rFonts w:cstheme="minorHAnsi"/>
                <w:b/>
                <w:bCs/>
                <w:sz w:val="20"/>
              </w:rPr>
            </w:pPr>
            <w:r w:rsidRPr="00134887">
              <w:rPr>
                <w:rFonts w:cstheme="minorHAnsi"/>
                <w:b/>
                <w:bCs/>
                <w:sz w:val="20"/>
              </w:rPr>
              <w:t>7. Monitoring and reporting for policy coherence</w:t>
            </w:r>
          </w:p>
        </w:tc>
      </w:tr>
      <w:tr w:rsidR="00134887" w:rsidRPr="00134887" w14:paraId="24878098" w14:textId="77777777" w:rsidTr="00A55A32">
        <w:trPr>
          <w:trHeight w:val="3038"/>
        </w:trPr>
        <w:tc>
          <w:tcPr>
            <w:tcW w:w="4960" w:type="dxa"/>
            <w:hideMark/>
          </w:tcPr>
          <w:p w14:paraId="3678AB02" w14:textId="77777777" w:rsidR="00134887" w:rsidRPr="00134887" w:rsidRDefault="00134887" w:rsidP="00A55A32">
            <w:pPr>
              <w:contextualSpacing/>
              <w:rPr>
                <w:rFonts w:cstheme="minorHAnsi"/>
                <w:sz w:val="20"/>
              </w:rPr>
            </w:pPr>
            <w:r w:rsidRPr="00134887">
              <w:rPr>
                <w:rFonts w:cstheme="minorHAnsi"/>
                <w:sz w:val="20"/>
              </w:rPr>
              <w:t xml:space="preserve">The country has institutionalized its commitment towards policy coherence for sustainable development at the highest political level.   </w:t>
            </w:r>
          </w:p>
        </w:tc>
        <w:tc>
          <w:tcPr>
            <w:tcW w:w="5620" w:type="dxa"/>
            <w:hideMark/>
          </w:tcPr>
          <w:p w14:paraId="4E453442" w14:textId="77777777" w:rsidR="00134887" w:rsidRPr="00134887" w:rsidRDefault="00134887" w:rsidP="00A55A32">
            <w:pPr>
              <w:contextualSpacing/>
              <w:rPr>
                <w:rFonts w:cstheme="minorHAnsi"/>
                <w:sz w:val="20"/>
              </w:rPr>
            </w:pPr>
            <w:r w:rsidRPr="00134887">
              <w:rPr>
                <w:rFonts w:cstheme="minorHAnsi"/>
                <w:sz w:val="20"/>
              </w:rPr>
              <w:t>The country has an institutional mechanism in place that periodically brings together relevant ministries and governmental entities to enhance coherence across sustainable development related policies including sectoral policies.</w:t>
            </w:r>
          </w:p>
        </w:tc>
        <w:tc>
          <w:tcPr>
            <w:tcW w:w="5440" w:type="dxa"/>
            <w:hideMark/>
          </w:tcPr>
          <w:p w14:paraId="4FF29B39" w14:textId="77777777" w:rsidR="00134887" w:rsidRPr="00134887" w:rsidRDefault="00134887" w:rsidP="00A55A32">
            <w:pPr>
              <w:contextualSpacing/>
              <w:rPr>
                <w:rFonts w:cstheme="minorHAnsi"/>
                <w:sz w:val="20"/>
              </w:rPr>
            </w:pPr>
            <w:r w:rsidRPr="00134887">
              <w:rPr>
                <w:rFonts w:cstheme="minorHAnsi"/>
                <w:sz w:val="20"/>
              </w:rPr>
              <w:t xml:space="preserve">The country has mechanisms in place to integrate the three dimensions of sustainable development and systematically assess the policy effects and cross-sectoral linkages throughout the policy and planning processes.  </w:t>
            </w:r>
          </w:p>
        </w:tc>
        <w:tc>
          <w:tcPr>
            <w:tcW w:w="5540" w:type="dxa"/>
            <w:hideMark/>
          </w:tcPr>
          <w:p w14:paraId="2939ABFB" w14:textId="77777777" w:rsidR="00134887" w:rsidRPr="00134887" w:rsidRDefault="00134887" w:rsidP="00A55A32">
            <w:pPr>
              <w:contextualSpacing/>
              <w:rPr>
                <w:rFonts w:cstheme="minorHAnsi"/>
                <w:sz w:val="20"/>
              </w:rPr>
            </w:pPr>
            <w:r w:rsidRPr="00134887">
              <w:rPr>
                <w:rFonts w:cstheme="minorHAnsi"/>
                <w:sz w:val="20"/>
              </w:rPr>
              <w:t>The country has mechanisms in place to systematically monitor and evaluate the effects of policies on the various dimensions of sustainable development as well as cross-sectoral impacts, and to report and inform adaptive action.</w:t>
            </w:r>
          </w:p>
        </w:tc>
      </w:tr>
      <w:tr w:rsidR="00134887" w:rsidRPr="00134887" w14:paraId="4B2CCB14" w14:textId="77777777" w:rsidTr="00A55A32">
        <w:trPr>
          <w:trHeight w:val="750"/>
        </w:trPr>
        <w:tc>
          <w:tcPr>
            <w:tcW w:w="4960" w:type="dxa"/>
            <w:shd w:val="clear" w:color="auto" w:fill="8DB3E2" w:themeFill="text2" w:themeFillTint="66"/>
            <w:hideMark/>
          </w:tcPr>
          <w:p w14:paraId="7D5D1AD6" w14:textId="77777777" w:rsidR="00134887" w:rsidRPr="00134887" w:rsidRDefault="00134887" w:rsidP="00A55A32">
            <w:pPr>
              <w:contextualSpacing/>
              <w:rPr>
                <w:rFonts w:cstheme="minorHAnsi"/>
                <w:b/>
                <w:bCs/>
                <w:sz w:val="20"/>
              </w:rPr>
            </w:pPr>
            <w:r w:rsidRPr="00134887">
              <w:rPr>
                <w:rFonts w:cstheme="minorHAnsi"/>
                <w:b/>
                <w:bCs/>
                <w:sz w:val="20"/>
              </w:rPr>
              <w:t>2. Long-term considerations in decision-making </w:t>
            </w:r>
          </w:p>
        </w:tc>
        <w:tc>
          <w:tcPr>
            <w:tcW w:w="5620" w:type="dxa"/>
            <w:shd w:val="clear" w:color="auto" w:fill="8DB3E2" w:themeFill="text2" w:themeFillTint="66"/>
            <w:hideMark/>
          </w:tcPr>
          <w:p w14:paraId="77DB78DA" w14:textId="77777777" w:rsidR="00134887" w:rsidRPr="00134887" w:rsidRDefault="00134887" w:rsidP="00A55A32">
            <w:pPr>
              <w:contextualSpacing/>
              <w:rPr>
                <w:rFonts w:cstheme="minorHAnsi"/>
                <w:b/>
                <w:bCs/>
                <w:sz w:val="20"/>
              </w:rPr>
            </w:pPr>
            <w:r w:rsidRPr="00134887">
              <w:rPr>
                <w:rFonts w:cstheme="minorHAnsi"/>
                <w:b/>
                <w:bCs/>
                <w:sz w:val="20"/>
              </w:rPr>
              <w:t> 4. Participatory processes</w:t>
            </w:r>
          </w:p>
        </w:tc>
        <w:tc>
          <w:tcPr>
            <w:tcW w:w="5440" w:type="dxa"/>
            <w:shd w:val="clear" w:color="auto" w:fill="8DB3E2" w:themeFill="text2" w:themeFillTint="66"/>
            <w:hideMark/>
          </w:tcPr>
          <w:p w14:paraId="39B83FCD" w14:textId="77777777" w:rsidR="00134887" w:rsidRPr="00134887" w:rsidRDefault="00134887" w:rsidP="00A55A32">
            <w:pPr>
              <w:contextualSpacing/>
              <w:rPr>
                <w:rFonts w:cstheme="minorHAnsi"/>
                <w:b/>
                <w:bCs/>
                <w:sz w:val="20"/>
              </w:rPr>
            </w:pPr>
            <w:r w:rsidRPr="00134887">
              <w:rPr>
                <w:rFonts w:cstheme="minorHAnsi"/>
                <w:b/>
                <w:bCs/>
                <w:sz w:val="20"/>
              </w:rPr>
              <w:t>6. Alignment across government levels</w:t>
            </w:r>
          </w:p>
        </w:tc>
        <w:tc>
          <w:tcPr>
            <w:tcW w:w="5540" w:type="dxa"/>
            <w:shd w:val="clear" w:color="auto" w:fill="8DB3E2" w:themeFill="text2" w:themeFillTint="66"/>
            <w:hideMark/>
          </w:tcPr>
          <w:p w14:paraId="6C747802" w14:textId="77777777" w:rsidR="00134887" w:rsidRPr="00134887" w:rsidRDefault="00134887" w:rsidP="00A55A32">
            <w:pPr>
              <w:contextualSpacing/>
              <w:rPr>
                <w:rFonts w:cstheme="minorHAnsi"/>
                <w:b/>
                <w:bCs/>
                <w:sz w:val="20"/>
              </w:rPr>
            </w:pPr>
            <w:r w:rsidRPr="00134887">
              <w:rPr>
                <w:rFonts w:cstheme="minorHAnsi"/>
                <w:b/>
                <w:bCs/>
                <w:sz w:val="20"/>
              </w:rPr>
              <w:t xml:space="preserve">8. Financing for policy coherence </w:t>
            </w:r>
          </w:p>
        </w:tc>
      </w:tr>
      <w:tr w:rsidR="00134887" w:rsidRPr="00134887" w14:paraId="7140315B" w14:textId="77777777" w:rsidTr="00A55A32">
        <w:trPr>
          <w:trHeight w:val="2865"/>
        </w:trPr>
        <w:tc>
          <w:tcPr>
            <w:tcW w:w="4960" w:type="dxa"/>
            <w:hideMark/>
          </w:tcPr>
          <w:p w14:paraId="10779CE7" w14:textId="77777777" w:rsidR="00134887" w:rsidRPr="00134887" w:rsidRDefault="00134887" w:rsidP="00A55A32">
            <w:pPr>
              <w:contextualSpacing/>
              <w:rPr>
                <w:rFonts w:cstheme="minorHAnsi"/>
                <w:sz w:val="20"/>
              </w:rPr>
            </w:pPr>
            <w:r w:rsidRPr="00134887">
              <w:rPr>
                <w:rFonts w:cstheme="minorHAnsi"/>
                <w:sz w:val="20"/>
              </w:rPr>
              <w:t xml:space="preserve">The country has mechanisms in place to ensure that long-term considerations are integrated into decision-making, policy development and planning </w:t>
            </w:r>
          </w:p>
        </w:tc>
        <w:tc>
          <w:tcPr>
            <w:tcW w:w="5620" w:type="dxa"/>
            <w:hideMark/>
          </w:tcPr>
          <w:p w14:paraId="57CB0D34" w14:textId="77777777" w:rsidR="00134887" w:rsidRPr="00134887" w:rsidRDefault="00134887" w:rsidP="00A55A32">
            <w:pPr>
              <w:contextualSpacing/>
              <w:rPr>
                <w:rFonts w:cstheme="minorHAnsi"/>
                <w:sz w:val="20"/>
              </w:rPr>
            </w:pPr>
            <w:r w:rsidRPr="00134887">
              <w:rPr>
                <w:rFonts w:cstheme="minorHAnsi"/>
                <w:sz w:val="20"/>
              </w:rPr>
              <w:t>The country has mechanisms in place to ensure that laws, policies, plans, programmes, and major development projects at different levels of government and including at the overarching/general, sectoral and local level are developed through participatory processes that involve relevant stakeholders.</w:t>
            </w:r>
          </w:p>
        </w:tc>
        <w:tc>
          <w:tcPr>
            <w:tcW w:w="5440" w:type="dxa"/>
            <w:hideMark/>
          </w:tcPr>
          <w:p w14:paraId="23C66214" w14:textId="77777777" w:rsidR="00134887" w:rsidRPr="00134887" w:rsidRDefault="00134887" w:rsidP="00A55A32">
            <w:pPr>
              <w:contextualSpacing/>
              <w:rPr>
                <w:rFonts w:cstheme="minorHAnsi"/>
                <w:sz w:val="20"/>
              </w:rPr>
            </w:pPr>
            <w:r w:rsidRPr="00134887">
              <w:rPr>
                <w:rFonts w:cstheme="minorHAnsi"/>
                <w:sz w:val="20"/>
              </w:rPr>
              <w:t xml:space="preserve">The country has mechanisms in place for aligning  priorities, policies and plans between various levels of government. </w:t>
            </w:r>
          </w:p>
        </w:tc>
        <w:tc>
          <w:tcPr>
            <w:tcW w:w="5540" w:type="dxa"/>
            <w:hideMark/>
          </w:tcPr>
          <w:p w14:paraId="0CAD591C" w14:textId="77777777" w:rsidR="00134887" w:rsidRPr="00134887" w:rsidRDefault="00134887" w:rsidP="00A55A32">
            <w:pPr>
              <w:contextualSpacing/>
              <w:rPr>
                <w:rFonts w:cstheme="minorHAnsi"/>
                <w:sz w:val="20"/>
              </w:rPr>
            </w:pPr>
            <w:r w:rsidRPr="00134887">
              <w:rPr>
                <w:rFonts w:cstheme="minorHAnsi"/>
                <w:sz w:val="20"/>
              </w:rPr>
              <w:t xml:space="preserve">The country has mechanisms in place to promote the alignment of private and public finance to policy coherence objectives and to track related expenditures </w:t>
            </w:r>
          </w:p>
        </w:tc>
      </w:tr>
    </w:tbl>
    <w:p w14:paraId="06F8288D" w14:textId="77777777" w:rsidR="00134887" w:rsidRDefault="00134887" w:rsidP="000C5437">
      <w:pPr>
        <w:spacing w:after="0" w:line="240" w:lineRule="auto"/>
        <w:contextualSpacing/>
        <w:rPr>
          <w:rFonts w:cstheme="minorHAnsi"/>
        </w:rPr>
      </w:pPr>
    </w:p>
    <w:p w14:paraId="4AF05800" w14:textId="4E5DFE78" w:rsidR="00134887" w:rsidRDefault="004979A8" w:rsidP="000C5437">
      <w:pPr>
        <w:spacing w:after="0" w:line="240" w:lineRule="auto"/>
        <w:contextualSpacing/>
        <w:rPr>
          <w:rFonts w:cstheme="minorHAnsi"/>
        </w:rPr>
      </w:pPr>
      <w:r w:rsidRPr="007C64B8">
        <w:rPr>
          <w:rFonts w:cstheme="minorHAnsi"/>
        </w:rPr>
        <w:t>The methodology attempts to capture the main types of policy coherence mechanisms, so that governments may assess and report on the mechanisms already in place and aim to establish any that are missing that they deem useful to further enhance policy coherence.</w:t>
      </w:r>
      <w:r w:rsidR="006277CA">
        <w:rPr>
          <w:rFonts w:cstheme="minorHAnsi"/>
        </w:rPr>
        <w:t xml:space="preserve"> A guidance note on each type of mechanism pro</w:t>
      </w:r>
      <w:r w:rsidR="00BF0089">
        <w:rPr>
          <w:rFonts w:cstheme="minorHAnsi"/>
        </w:rPr>
        <w:t>vides guidance in doing so, presenting</w:t>
      </w:r>
      <w:r w:rsidRPr="007C64B8">
        <w:rPr>
          <w:rFonts w:cstheme="minorHAnsi"/>
        </w:rPr>
        <w:t xml:space="preserve"> examples of existing mechanisms put in place by member states globally as inspiration of the kinds of mechanisms that have proved successful, and that may serve as useful models for others.</w:t>
      </w:r>
      <w:r w:rsidR="00BF0089">
        <w:rPr>
          <w:rFonts w:cstheme="minorHAnsi"/>
        </w:rPr>
        <w:t xml:space="preserve"> The Expert Group also identified elements that contribute to the effectiveness of each mechanisms, and a weighted scoring system for reporting towards Indicator 17.14.1.</w:t>
      </w:r>
    </w:p>
    <w:p w14:paraId="0A85F5E6" w14:textId="77777777" w:rsidR="00AD594E" w:rsidRDefault="00AD594E" w:rsidP="000C5437">
      <w:pPr>
        <w:spacing w:after="0" w:line="240" w:lineRule="auto"/>
        <w:rPr>
          <w:rFonts w:cstheme="minorHAnsi"/>
          <w:b/>
          <w:color w:val="4F81BD" w:themeColor="accent1"/>
          <w:sz w:val="24"/>
        </w:rPr>
      </w:pPr>
    </w:p>
    <w:p w14:paraId="22A4AD93" w14:textId="77777777" w:rsidR="00134887" w:rsidRDefault="00134887">
      <w:pPr>
        <w:rPr>
          <w:rFonts w:cstheme="minorHAnsi"/>
          <w:b/>
          <w:color w:val="4F81BD" w:themeColor="accent1"/>
          <w:sz w:val="24"/>
        </w:rPr>
      </w:pPr>
      <w:r>
        <w:rPr>
          <w:rFonts w:cstheme="minorHAnsi"/>
          <w:b/>
          <w:color w:val="4F81BD" w:themeColor="accent1"/>
          <w:sz w:val="24"/>
        </w:rPr>
        <w:br w:type="page"/>
      </w:r>
    </w:p>
    <w:p w14:paraId="5FA5E751" w14:textId="4805D40C" w:rsidR="00CE360E" w:rsidRPr="00CE360E" w:rsidRDefault="00CE360E" w:rsidP="000C5437">
      <w:pPr>
        <w:spacing w:after="0" w:line="240" w:lineRule="auto"/>
        <w:rPr>
          <w:rFonts w:cstheme="minorHAnsi"/>
          <w:b/>
          <w:color w:val="4F81BD" w:themeColor="accent1"/>
          <w:sz w:val="24"/>
        </w:rPr>
      </w:pPr>
      <w:r w:rsidRPr="00CE360E">
        <w:rPr>
          <w:rFonts w:cstheme="minorHAnsi"/>
          <w:b/>
          <w:color w:val="4F81BD" w:themeColor="accent1"/>
          <w:sz w:val="24"/>
        </w:rPr>
        <w:lastRenderedPageBreak/>
        <w:t>Next steps</w:t>
      </w:r>
      <w:r>
        <w:rPr>
          <w:rFonts w:cstheme="minorHAnsi"/>
          <w:b/>
          <w:color w:val="4F81BD" w:themeColor="accent1"/>
          <w:sz w:val="24"/>
        </w:rPr>
        <w:t xml:space="preserve"> and workshop objectives</w:t>
      </w:r>
    </w:p>
    <w:p w14:paraId="220D2825" w14:textId="3EFB1431" w:rsidR="0069362A" w:rsidRDefault="006277CA" w:rsidP="000C5437">
      <w:pPr>
        <w:spacing w:after="0" w:line="240" w:lineRule="auto"/>
        <w:rPr>
          <w:rFonts w:cstheme="minorHAnsi"/>
        </w:rPr>
      </w:pPr>
      <w:r>
        <w:rPr>
          <w:rFonts w:cstheme="minorHAnsi"/>
        </w:rPr>
        <w:t>The next step on the methodology development is to test the draft with a sample of members states to receive feedback on its acceptability, applicability, and any feedback to incorporate before its finalization and submission to the IAEG-SDGs.</w:t>
      </w:r>
      <w:r w:rsidR="0080326E">
        <w:rPr>
          <w:rFonts w:cstheme="minorHAnsi"/>
        </w:rPr>
        <w:t xml:space="preserve"> In this respect, UN Environment would like to pilot test the draft methodology with</w:t>
      </w:r>
      <w:r w:rsidR="008E6607">
        <w:rPr>
          <w:rFonts w:cstheme="minorHAnsi"/>
        </w:rPr>
        <w:t xml:space="preserve"> a sample of governments</w:t>
      </w:r>
      <w:r w:rsidR="0080326E">
        <w:rPr>
          <w:rFonts w:cstheme="minorHAnsi"/>
        </w:rPr>
        <w:t>.</w:t>
      </w:r>
    </w:p>
    <w:p w14:paraId="1691A3BB" w14:textId="6C42F01B" w:rsidR="0080326E" w:rsidRDefault="0080326E" w:rsidP="000C5437">
      <w:pPr>
        <w:spacing w:after="0" w:line="240" w:lineRule="auto"/>
        <w:rPr>
          <w:rFonts w:cstheme="minorHAnsi"/>
        </w:rPr>
      </w:pPr>
    </w:p>
    <w:p w14:paraId="634CF71B" w14:textId="24CD87B8" w:rsidR="00BF0089" w:rsidRDefault="0080326E" w:rsidP="000C5437">
      <w:pPr>
        <w:spacing w:after="0" w:line="240" w:lineRule="auto"/>
        <w:rPr>
          <w:rFonts w:cstheme="minorHAnsi"/>
        </w:rPr>
      </w:pPr>
      <w:r>
        <w:rPr>
          <w:rFonts w:cstheme="minorHAnsi"/>
        </w:rPr>
        <w:t xml:space="preserve">The piloting could take the form of a </w:t>
      </w:r>
      <w:r w:rsidR="001349BB">
        <w:rPr>
          <w:rFonts w:cstheme="minorHAnsi"/>
        </w:rPr>
        <w:t>one</w:t>
      </w:r>
      <w:r>
        <w:rPr>
          <w:rFonts w:cstheme="minorHAnsi"/>
        </w:rPr>
        <w:t xml:space="preserve">-day </w:t>
      </w:r>
      <w:r w:rsidR="001349BB">
        <w:rPr>
          <w:rFonts w:cstheme="minorHAnsi"/>
        </w:rPr>
        <w:t xml:space="preserve">workshop with a mixture of sessions in plenary and group exercises </w:t>
      </w:r>
      <w:r>
        <w:rPr>
          <w:rFonts w:cstheme="minorHAnsi"/>
        </w:rPr>
        <w:t xml:space="preserve">to present </w:t>
      </w:r>
      <w:r w:rsidR="004F4828">
        <w:rPr>
          <w:rFonts w:cstheme="minorHAnsi"/>
        </w:rPr>
        <w:t>the draft methodology and attempt to apply it t</w:t>
      </w:r>
      <w:r w:rsidR="008E6607">
        <w:rPr>
          <w:rFonts w:cstheme="minorHAnsi"/>
        </w:rPr>
        <w:t xml:space="preserve">o the national context </w:t>
      </w:r>
      <w:r w:rsidR="00BF0089">
        <w:rPr>
          <w:rFonts w:cstheme="minorHAnsi"/>
        </w:rPr>
        <w:t>in order to:</w:t>
      </w:r>
    </w:p>
    <w:p w14:paraId="5F023E55" w14:textId="0341A692" w:rsidR="0080326E" w:rsidRDefault="00BF0089" w:rsidP="00BF0089">
      <w:pPr>
        <w:pStyle w:val="ListParagraph"/>
        <w:numPr>
          <w:ilvl w:val="0"/>
          <w:numId w:val="5"/>
        </w:numPr>
        <w:spacing w:after="0" w:line="240" w:lineRule="auto"/>
        <w:rPr>
          <w:rFonts w:cstheme="minorHAnsi"/>
        </w:rPr>
      </w:pPr>
      <w:r>
        <w:rPr>
          <w:rFonts w:cstheme="minorHAnsi"/>
        </w:rPr>
        <w:t>Identify</w:t>
      </w:r>
      <w:r w:rsidR="004F4828" w:rsidRPr="00BF0089">
        <w:rPr>
          <w:rFonts w:cstheme="minorHAnsi"/>
        </w:rPr>
        <w:t xml:space="preserve"> the various</w:t>
      </w:r>
      <w:r w:rsidRPr="00BF0089">
        <w:rPr>
          <w:rFonts w:cstheme="minorHAnsi"/>
        </w:rPr>
        <w:t xml:space="preserve"> policy coherence mechanisms</w:t>
      </w:r>
      <w:r>
        <w:rPr>
          <w:rFonts w:cstheme="minorHAnsi"/>
        </w:rPr>
        <w:t xml:space="preserve"> that exist </w:t>
      </w:r>
      <w:r w:rsidR="008E6607">
        <w:rPr>
          <w:rFonts w:cstheme="minorHAnsi"/>
        </w:rPr>
        <w:t>nationally</w:t>
      </w:r>
      <w:r>
        <w:rPr>
          <w:rFonts w:cstheme="minorHAnsi"/>
        </w:rPr>
        <w:t>, and how/whether they fit into the list of 8 types of mechanisms identified by the International Expert Group</w:t>
      </w:r>
    </w:p>
    <w:p w14:paraId="008D5C83" w14:textId="5898B73A" w:rsidR="00BF0089" w:rsidRDefault="00BF0089" w:rsidP="00BF0089">
      <w:pPr>
        <w:pStyle w:val="ListParagraph"/>
        <w:numPr>
          <w:ilvl w:val="0"/>
          <w:numId w:val="5"/>
        </w:numPr>
        <w:spacing w:after="0" w:line="240" w:lineRule="auto"/>
        <w:rPr>
          <w:rFonts w:cstheme="minorHAnsi"/>
        </w:rPr>
      </w:pPr>
      <w:r>
        <w:rPr>
          <w:rFonts w:cstheme="minorHAnsi"/>
        </w:rPr>
        <w:t>Assess whether any types of policy coherence mechanisms are missing from the methodology, or whether the methodology is unable to account for existing policy coherence mechanisms</w:t>
      </w:r>
    </w:p>
    <w:p w14:paraId="75B9FF8A" w14:textId="04760C4E" w:rsidR="00BF0089" w:rsidRDefault="00BF0089" w:rsidP="00BF0089">
      <w:pPr>
        <w:pStyle w:val="ListParagraph"/>
        <w:numPr>
          <w:ilvl w:val="0"/>
          <w:numId w:val="5"/>
        </w:numPr>
        <w:spacing w:after="0" w:line="240" w:lineRule="auto"/>
        <w:rPr>
          <w:rFonts w:cstheme="minorHAnsi"/>
        </w:rPr>
      </w:pPr>
      <w:r>
        <w:rPr>
          <w:rFonts w:cstheme="minorHAnsi"/>
        </w:rPr>
        <w:t xml:space="preserve">Apply the weighting system in practice and determine its </w:t>
      </w:r>
      <w:r w:rsidR="002D3590">
        <w:rPr>
          <w:rFonts w:cstheme="minorHAnsi"/>
        </w:rPr>
        <w:t>suitability and usefulness to member states</w:t>
      </w:r>
    </w:p>
    <w:p w14:paraId="4F062999" w14:textId="1771F5EB" w:rsidR="00BF0089" w:rsidRDefault="002D3590" w:rsidP="00BF0089">
      <w:pPr>
        <w:pStyle w:val="ListParagraph"/>
        <w:numPr>
          <w:ilvl w:val="0"/>
          <w:numId w:val="5"/>
        </w:numPr>
        <w:spacing w:after="0" w:line="240" w:lineRule="auto"/>
        <w:rPr>
          <w:rFonts w:cstheme="minorHAnsi"/>
        </w:rPr>
      </w:pPr>
      <w:r>
        <w:rPr>
          <w:rFonts w:cstheme="minorHAnsi"/>
        </w:rPr>
        <w:t>Examine the usefulness of the guidance notes and examples/case studies for member states</w:t>
      </w:r>
    </w:p>
    <w:p w14:paraId="09F3E8EE" w14:textId="2389C97E" w:rsidR="002D3590" w:rsidRDefault="002D3590" w:rsidP="00BF0089">
      <w:pPr>
        <w:pStyle w:val="ListParagraph"/>
        <w:numPr>
          <w:ilvl w:val="0"/>
          <w:numId w:val="5"/>
        </w:numPr>
        <w:spacing w:after="0" w:line="240" w:lineRule="auto"/>
        <w:rPr>
          <w:rFonts w:cstheme="minorHAnsi"/>
        </w:rPr>
      </w:pPr>
      <w:r>
        <w:rPr>
          <w:rFonts w:cstheme="minorHAnsi"/>
        </w:rPr>
        <w:t xml:space="preserve">Identify any challenges for member states in applying the methodology </w:t>
      </w:r>
    </w:p>
    <w:p w14:paraId="4F9972F9" w14:textId="77777777" w:rsidR="002A050E" w:rsidRDefault="002A050E" w:rsidP="002D3590">
      <w:pPr>
        <w:spacing w:after="0" w:line="240" w:lineRule="auto"/>
        <w:rPr>
          <w:rFonts w:cstheme="minorHAnsi"/>
        </w:rPr>
      </w:pPr>
    </w:p>
    <w:p w14:paraId="3D98F989" w14:textId="0CC49135" w:rsidR="002A050E" w:rsidRDefault="001349BB" w:rsidP="002D3590">
      <w:pPr>
        <w:spacing w:after="0" w:line="240" w:lineRule="auto"/>
        <w:rPr>
          <w:rFonts w:cstheme="minorHAnsi"/>
        </w:rPr>
      </w:pPr>
      <w:r>
        <w:rPr>
          <w:rFonts w:cstheme="minorHAnsi"/>
        </w:rPr>
        <w:t>The workshop</w:t>
      </w:r>
      <w:r w:rsidR="002A050E">
        <w:rPr>
          <w:rFonts w:cstheme="minorHAnsi"/>
        </w:rPr>
        <w:t xml:space="preserve"> </w:t>
      </w:r>
      <w:r w:rsidR="00714E08">
        <w:rPr>
          <w:rFonts w:cstheme="minorHAnsi"/>
        </w:rPr>
        <w:t xml:space="preserve">would ideally be attended by several central government offices and line ministries/ departments that would hold information on potential policy coherence mechanisms established at the national and sub-national levels in order to ensure coherence in the formulation, implementation and evaluation of laws, policies, plans, programmes and projects. </w:t>
      </w:r>
      <w:r w:rsidR="00A37F03">
        <w:rPr>
          <w:rFonts w:cstheme="minorHAnsi"/>
        </w:rPr>
        <w:t xml:space="preserve">This could include central offices </w:t>
      </w:r>
      <w:r w:rsidR="006852F6">
        <w:rPr>
          <w:rFonts w:cstheme="minorHAnsi"/>
        </w:rPr>
        <w:t>responsible for ensuring coordination across government institutions and across different government levels such as the President’s Office, Ministry of Planning and Ministry of Local Government, Rural Development and Cooperatives, as well as</w:t>
      </w:r>
      <w:r w:rsidR="00391385">
        <w:rPr>
          <w:rFonts w:cstheme="minorHAnsi"/>
        </w:rPr>
        <w:t xml:space="preserve"> the Ministry of Foreign Affairs and relevant</w:t>
      </w:r>
      <w:r w:rsidR="006852F6">
        <w:rPr>
          <w:rFonts w:cstheme="minorHAnsi"/>
        </w:rPr>
        <w:t xml:space="preserve"> line ministries.  </w:t>
      </w:r>
      <w:r w:rsidR="00714E08">
        <w:rPr>
          <w:rFonts w:cstheme="minorHAnsi"/>
        </w:rPr>
        <w:t xml:space="preserve">This </w:t>
      </w:r>
      <w:r>
        <w:rPr>
          <w:rFonts w:cstheme="minorHAnsi"/>
        </w:rPr>
        <w:t xml:space="preserve">workshop </w:t>
      </w:r>
      <w:r w:rsidR="002A050E">
        <w:rPr>
          <w:rFonts w:cstheme="minorHAnsi"/>
        </w:rPr>
        <w:t xml:space="preserve">could be followed by bilateral consultations with key national institutions, including the institution likely to be appointed to monitor and report on the indicator on behalf of the government. </w:t>
      </w:r>
    </w:p>
    <w:p w14:paraId="7B50B63C" w14:textId="77777777" w:rsidR="002A050E" w:rsidRDefault="002A050E" w:rsidP="002D3590">
      <w:pPr>
        <w:spacing w:after="0" w:line="240" w:lineRule="auto"/>
        <w:rPr>
          <w:rFonts w:cstheme="minorHAnsi"/>
        </w:rPr>
      </w:pPr>
    </w:p>
    <w:p w14:paraId="78039B4C" w14:textId="5158FB81" w:rsidR="002D3590" w:rsidRDefault="002D3590" w:rsidP="002D3590">
      <w:pPr>
        <w:spacing w:after="0" w:line="240" w:lineRule="auto"/>
        <w:rPr>
          <w:rFonts w:cstheme="minorHAnsi"/>
        </w:rPr>
      </w:pPr>
      <w:r>
        <w:rPr>
          <w:rFonts w:cstheme="minorHAnsi"/>
        </w:rPr>
        <w:t>Following the piloting in several member states, the methodology will be further refined by the International Expert Group</w:t>
      </w:r>
      <w:r w:rsidR="002A050E">
        <w:rPr>
          <w:rFonts w:cstheme="minorHAnsi"/>
        </w:rPr>
        <w:t xml:space="preserve"> in order to take into account the feedback received,</w:t>
      </w:r>
      <w:r>
        <w:rPr>
          <w:rFonts w:cstheme="minorHAnsi"/>
        </w:rPr>
        <w:t xml:space="preserve"> before its finalization </w:t>
      </w:r>
      <w:r w:rsidR="002A050E">
        <w:rPr>
          <w:rFonts w:cstheme="minorHAnsi"/>
        </w:rPr>
        <w:t xml:space="preserve">and submission to the IAEG-SDG during the </w:t>
      </w:r>
      <w:r w:rsidR="001972D7">
        <w:rPr>
          <w:rFonts w:cstheme="minorHAnsi"/>
        </w:rPr>
        <w:t>second</w:t>
      </w:r>
      <w:r w:rsidR="002A050E">
        <w:rPr>
          <w:rFonts w:cstheme="minorHAnsi"/>
        </w:rPr>
        <w:t xml:space="preserve"> half of 2019.</w:t>
      </w:r>
    </w:p>
    <w:p w14:paraId="6BD1FC65" w14:textId="71CC92B8" w:rsidR="002A050E" w:rsidRDefault="002A050E" w:rsidP="002D3590">
      <w:pPr>
        <w:spacing w:after="0" w:line="240" w:lineRule="auto"/>
        <w:rPr>
          <w:rFonts w:cstheme="minorHAnsi"/>
        </w:rPr>
      </w:pPr>
    </w:p>
    <w:p w14:paraId="3207EE0A" w14:textId="77777777" w:rsidR="00391385" w:rsidRDefault="00391385">
      <w:pPr>
        <w:rPr>
          <w:rFonts w:cstheme="minorHAnsi"/>
          <w:b/>
          <w:sz w:val="24"/>
        </w:rPr>
      </w:pPr>
      <w:r>
        <w:rPr>
          <w:rFonts w:cstheme="minorHAnsi"/>
          <w:b/>
          <w:sz w:val="24"/>
        </w:rPr>
        <w:br w:type="page"/>
      </w:r>
    </w:p>
    <w:p w14:paraId="50258990" w14:textId="0159202F" w:rsidR="002A050E" w:rsidRPr="00CE360E" w:rsidRDefault="001A7A20" w:rsidP="002D3590">
      <w:pPr>
        <w:spacing w:after="0" w:line="240" w:lineRule="auto"/>
        <w:rPr>
          <w:rFonts w:cstheme="minorHAnsi"/>
          <w:b/>
          <w:color w:val="4F81BD" w:themeColor="accent1"/>
          <w:sz w:val="24"/>
        </w:rPr>
      </w:pPr>
      <w:r>
        <w:rPr>
          <w:rFonts w:cstheme="minorHAnsi"/>
          <w:b/>
          <w:color w:val="4F81BD" w:themeColor="accent1"/>
          <w:sz w:val="24"/>
        </w:rPr>
        <w:lastRenderedPageBreak/>
        <w:t>Timetable</w:t>
      </w:r>
      <w:r w:rsidR="002A050E" w:rsidRPr="00CE360E">
        <w:rPr>
          <w:rFonts w:cstheme="minorHAnsi"/>
          <w:b/>
          <w:color w:val="4F81BD" w:themeColor="accent1"/>
          <w:sz w:val="24"/>
        </w:rPr>
        <w:t>:</w:t>
      </w:r>
      <w:bookmarkStart w:id="0" w:name="_GoBack"/>
      <w:bookmarkEnd w:id="0"/>
    </w:p>
    <w:p w14:paraId="4A115C51" w14:textId="170F5CC1" w:rsidR="00551C9C" w:rsidRDefault="00551C9C" w:rsidP="00551C9C">
      <w:pPr>
        <w:spacing w:after="0" w:line="240" w:lineRule="auto"/>
      </w:pPr>
    </w:p>
    <w:tbl>
      <w:tblPr>
        <w:tblStyle w:val="TableGrid"/>
        <w:tblW w:w="10656" w:type="dxa"/>
        <w:tblInd w:w="-455" w:type="dxa"/>
        <w:tblLook w:val="04A0" w:firstRow="1" w:lastRow="0" w:firstColumn="1" w:lastColumn="0" w:noHBand="0" w:noVBand="1"/>
      </w:tblPr>
      <w:tblGrid>
        <w:gridCol w:w="837"/>
        <w:gridCol w:w="7835"/>
        <w:gridCol w:w="1984"/>
      </w:tblGrid>
      <w:tr w:rsidR="000C564F" w14:paraId="4DE7CFC3" w14:textId="77777777" w:rsidTr="00D74B52">
        <w:tc>
          <w:tcPr>
            <w:tcW w:w="837" w:type="dxa"/>
            <w:shd w:val="clear" w:color="auto" w:fill="B8CCE4" w:themeFill="accent1" w:themeFillTint="66"/>
          </w:tcPr>
          <w:p w14:paraId="5417043F" w14:textId="77777777" w:rsidR="000C564F" w:rsidRPr="00683FA4" w:rsidRDefault="000C564F" w:rsidP="00D74B52">
            <w:pPr>
              <w:rPr>
                <w:b/>
              </w:rPr>
            </w:pPr>
            <w:r w:rsidRPr="00683FA4">
              <w:rPr>
                <w:b/>
              </w:rPr>
              <w:t>Time:</w:t>
            </w:r>
          </w:p>
        </w:tc>
        <w:tc>
          <w:tcPr>
            <w:tcW w:w="7835" w:type="dxa"/>
            <w:shd w:val="clear" w:color="auto" w:fill="B8CCE4" w:themeFill="accent1" w:themeFillTint="66"/>
          </w:tcPr>
          <w:p w14:paraId="120AC65F" w14:textId="77777777" w:rsidR="000C564F" w:rsidRPr="00683FA4" w:rsidRDefault="000C564F" w:rsidP="00D74B52">
            <w:pPr>
              <w:rPr>
                <w:b/>
              </w:rPr>
            </w:pPr>
            <w:r w:rsidRPr="00683FA4">
              <w:rPr>
                <w:b/>
              </w:rPr>
              <w:t>Agenda Item:</w:t>
            </w:r>
          </w:p>
        </w:tc>
        <w:tc>
          <w:tcPr>
            <w:tcW w:w="1984" w:type="dxa"/>
            <w:shd w:val="clear" w:color="auto" w:fill="B8CCE4" w:themeFill="accent1" w:themeFillTint="66"/>
          </w:tcPr>
          <w:p w14:paraId="4268EA0D" w14:textId="77777777" w:rsidR="000C564F" w:rsidRPr="00683FA4" w:rsidRDefault="000C564F" w:rsidP="00D74B52">
            <w:pPr>
              <w:rPr>
                <w:b/>
              </w:rPr>
            </w:pPr>
          </w:p>
        </w:tc>
      </w:tr>
      <w:tr w:rsidR="000C564F" w14:paraId="616736C8" w14:textId="77777777" w:rsidTr="00D74B52">
        <w:tc>
          <w:tcPr>
            <w:tcW w:w="837" w:type="dxa"/>
          </w:tcPr>
          <w:p w14:paraId="511A39EA" w14:textId="77777777" w:rsidR="000C564F" w:rsidRDefault="000C564F" w:rsidP="00D74B52">
            <w:pPr>
              <w:ind w:right="-90"/>
            </w:pPr>
            <w:bookmarkStart w:id="1" w:name="_Hlk527724309"/>
            <w:r>
              <w:t>9:00-9:30</w:t>
            </w:r>
          </w:p>
        </w:tc>
        <w:tc>
          <w:tcPr>
            <w:tcW w:w="7835" w:type="dxa"/>
          </w:tcPr>
          <w:p w14:paraId="762CAA2F" w14:textId="77777777" w:rsidR="000C564F" w:rsidRPr="00785025" w:rsidRDefault="000C564F" w:rsidP="00D74B52">
            <w:pPr>
              <w:rPr>
                <w:bCs/>
              </w:rPr>
            </w:pPr>
            <w:r w:rsidRPr="00785025">
              <w:rPr>
                <w:bCs/>
              </w:rPr>
              <w:t>Welcome and introductions</w:t>
            </w:r>
          </w:p>
        </w:tc>
        <w:tc>
          <w:tcPr>
            <w:tcW w:w="1984" w:type="dxa"/>
          </w:tcPr>
          <w:p w14:paraId="2A89C7A9" w14:textId="77777777" w:rsidR="000C564F" w:rsidRDefault="000C564F" w:rsidP="00D74B52">
            <w:pPr>
              <w:rPr>
                <w:b/>
              </w:rPr>
            </w:pPr>
            <w:r>
              <w:rPr>
                <w:b/>
              </w:rPr>
              <w:t>Diane Klaimi</w:t>
            </w:r>
          </w:p>
          <w:p w14:paraId="02BD582B" w14:textId="77777777" w:rsidR="000C564F" w:rsidRDefault="000C564F" w:rsidP="00D74B52">
            <w:pPr>
              <w:rPr>
                <w:b/>
              </w:rPr>
            </w:pPr>
            <w:r>
              <w:rPr>
                <w:b/>
              </w:rPr>
              <w:t>Jillian Campbell</w:t>
            </w:r>
          </w:p>
          <w:p w14:paraId="34EC1ED2" w14:textId="075C9DB0" w:rsidR="000C564F" w:rsidRDefault="000C564F" w:rsidP="00D74B52">
            <w:pPr>
              <w:rPr>
                <w:b/>
              </w:rPr>
            </w:pPr>
            <w:r>
              <w:rPr>
                <w:b/>
              </w:rPr>
              <w:t>Kenyan counterpart.</w:t>
            </w:r>
          </w:p>
        </w:tc>
      </w:tr>
      <w:tr w:rsidR="000C564F" w14:paraId="5703723F" w14:textId="77777777" w:rsidTr="00D74B52">
        <w:tc>
          <w:tcPr>
            <w:tcW w:w="837" w:type="dxa"/>
          </w:tcPr>
          <w:p w14:paraId="4FAD74FE" w14:textId="77777777" w:rsidR="000C564F" w:rsidRDefault="000C564F" w:rsidP="00D74B52">
            <w:pPr>
              <w:ind w:right="-90"/>
            </w:pPr>
            <w:r>
              <w:t>9:30-10:15</w:t>
            </w:r>
          </w:p>
        </w:tc>
        <w:tc>
          <w:tcPr>
            <w:tcW w:w="7835" w:type="dxa"/>
          </w:tcPr>
          <w:p w14:paraId="4C6E020C" w14:textId="77777777" w:rsidR="000C564F" w:rsidRPr="00785025" w:rsidRDefault="000C564F" w:rsidP="00D74B52">
            <w:pPr>
              <w:rPr>
                <w:bCs/>
              </w:rPr>
            </w:pPr>
            <w:r w:rsidRPr="00785025">
              <w:rPr>
                <w:bCs/>
              </w:rPr>
              <w:t>Introduction: The SDGs process, role of the custodian agencies and overview of Indicator 17.14.1</w:t>
            </w:r>
          </w:p>
        </w:tc>
        <w:tc>
          <w:tcPr>
            <w:tcW w:w="1984" w:type="dxa"/>
          </w:tcPr>
          <w:p w14:paraId="33517508" w14:textId="77777777" w:rsidR="000C564F" w:rsidRDefault="000C564F" w:rsidP="00D74B52">
            <w:pPr>
              <w:rPr>
                <w:b/>
              </w:rPr>
            </w:pPr>
            <w:r>
              <w:rPr>
                <w:b/>
              </w:rPr>
              <w:t>Yannis Derbali</w:t>
            </w:r>
          </w:p>
        </w:tc>
      </w:tr>
      <w:tr w:rsidR="000C564F" w14:paraId="5E023DEA" w14:textId="77777777" w:rsidTr="00D74B52">
        <w:tc>
          <w:tcPr>
            <w:tcW w:w="8672" w:type="dxa"/>
            <w:gridSpan w:val="2"/>
          </w:tcPr>
          <w:p w14:paraId="3A42B986" w14:textId="77777777" w:rsidR="000C564F" w:rsidRPr="00B532D9" w:rsidRDefault="000C564F" w:rsidP="00D74B52">
            <w:pPr>
              <w:jc w:val="center"/>
              <w:rPr>
                <w:b/>
                <w:i/>
              </w:rPr>
            </w:pPr>
            <w:r>
              <w:rPr>
                <w:b/>
                <w:i/>
              </w:rPr>
              <w:t>Coffee break (15 mins)</w:t>
            </w:r>
          </w:p>
        </w:tc>
        <w:tc>
          <w:tcPr>
            <w:tcW w:w="1984" w:type="dxa"/>
          </w:tcPr>
          <w:p w14:paraId="2CD40CF7" w14:textId="77777777" w:rsidR="000C564F" w:rsidRDefault="000C564F" w:rsidP="00D74B52">
            <w:pPr>
              <w:jc w:val="center"/>
              <w:rPr>
                <w:b/>
                <w:i/>
              </w:rPr>
            </w:pPr>
          </w:p>
        </w:tc>
      </w:tr>
      <w:bookmarkEnd w:id="1"/>
      <w:tr w:rsidR="000C564F" w14:paraId="39E29C1C" w14:textId="77777777" w:rsidTr="00D74B52">
        <w:tc>
          <w:tcPr>
            <w:tcW w:w="837" w:type="dxa"/>
          </w:tcPr>
          <w:p w14:paraId="170E2036" w14:textId="77777777" w:rsidR="000C564F" w:rsidRDefault="000C564F" w:rsidP="00D74B52">
            <w:pPr>
              <w:ind w:right="-90"/>
            </w:pPr>
            <w:r>
              <w:t>10:30-12:30</w:t>
            </w:r>
          </w:p>
        </w:tc>
        <w:tc>
          <w:tcPr>
            <w:tcW w:w="7835" w:type="dxa"/>
          </w:tcPr>
          <w:p w14:paraId="13F6882B" w14:textId="77777777" w:rsidR="000C564F" w:rsidRPr="002C1228" w:rsidRDefault="000C564F" w:rsidP="00D74B52">
            <w:pPr>
              <w:ind w:left="349" w:hanging="349"/>
            </w:pPr>
            <w:r w:rsidRPr="002C1228">
              <w:t>1.</w:t>
            </w:r>
            <w:r w:rsidRPr="002C1228">
              <w:tab/>
              <w:t>Institutionalised political commitment</w:t>
            </w:r>
          </w:p>
          <w:p w14:paraId="73D29736" w14:textId="77777777" w:rsidR="000C564F" w:rsidRDefault="000C564F" w:rsidP="00D74B52">
            <w:pPr>
              <w:ind w:left="349" w:hanging="349"/>
            </w:pPr>
            <w:r w:rsidRPr="002C1228">
              <w:t>2.</w:t>
            </w:r>
            <w:r w:rsidRPr="002C1228">
              <w:tab/>
              <w:t>Long-term considerations underpin decision-making on sustainable development</w:t>
            </w:r>
          </w:p>
          <w:p w14:paraId="70FFD84B" w14:textId="77777777" w:rsidR="000C564F" w:rsidRDefault="000C564F" w:rsidP="00D74B52">
            <w:pPr>
              <w:ind w:left="349" w:hanging="349"/>
            </w:pPr>
          </w:p>
          <w:p w14:paraId="2219A1D2" w14:textId="77777777" w:rsidR="000C564F" w:rsidRDefault="000C564F" w:rsidP="00D74B52">
            <w:pPr>
              <w:ind w:left="349" w:hanging="349"/>
            </w:pPr>
            <w:r w:rsidRPr="002C1228">
              <w:t>3.</w:t>
            </w:r>
            <w:r w:rsidRPr="002C1228">
              <w:tab/>
              <w:t>Inter-ministerial and cross-sectoral coordination</w:t>
            </w:r>
          </w:p>
          <w:p w14:paraId="4C61B068" w14:textId="77777777" w:rsidR="000C564F" w:rsidRDefault="000C564F" w:rsidP="00D74B52">
            <w:pPr>
              <w:ind w:left="349" w:hanging="349"/>
            </w:pPr>
            <w:r w:rsidRPr="002C1228">
              <w:t>4.</w:t>
            </w:r>
            <w:r w:rsidRPr="002C1228">
              <w:tab/>
              <w:t>Participatory processes</w:t>
            </w:r>
          </w:p>
          <w:p w14:paraId="5AB96BAF" w14:textId="77777777" w:rsidR="000C564F" w:rsidRPr="00B30419" w:rsidRDefault="000C564F" w:rsidP="00D74B52">
            <w:pPr>
              <w:ind w:left="349" w:hanging="349"/>
            </w:pPr>
          </w:p>
        </w:tc>
        <w:tc>
          <w:tcPr>
            <w:tcW w:w="1984" w:type="dxa"/>
          </w:tcPr>
          <w:p w14:paraId="1664F39D" w14:textId="77777777" w:rsidR="000C564F" w:rsidRPr="002C1228" w:rsidRDefault="000C564F" w:rsidP="00D74B52">
            <w:pPr>
              <w:ind w:left="349" w:hanging="349"/>
            </w:pPr>
            <w:r>
              <w:rPr>
                <w:b/>
              </w:rPr>
              <w:t>Yannis Derbali</w:t>
            </w:r>
          </w:p>
        </w:tc>
      </w:tr>
      <w:tr w:rsidR="000C564F" w14:paraId="62945324" w14:textId="77777777" w:rsidTr="00D74B52">
        <w:tc>
          <w:tcPr>
            <w:tcW w:w="8672" w:type="dxa"/>
            <w:gridSpan w:val="2"/>
          </w:tcPr>
          <w:p w14:paraId="458BC25A" w14:textId="77777777" w:rsidR="000C564F" w:rsidRPr="00734C26" w:rsidRDefault="000C564F" w:rsidP="00D74B52">
            <w:pPr>
              <w:jc w:val="center"/>
              <w:rPr>
                <w:b/>
                <w:i/>
              </w:rPr>
            </w:pPr>
            <w:r>
              <w:rPr>
                <w:b/>
                <w:i/>
              </w:rPr>
              <w:t>Lunch (1 hour)</w:t>
            </w:r>
          </w:p>
        </w:tc>
        <w:tc>
          <w:tcPr>
            <w:tcW w:w="1984" w:type="dxa"/>
          </w:tcPr>
          <w:p w14:paraId="1DABCAEB" w14:textId="77777777" w:rsidR="000C564F" w:rsidRDefault="000C564F" w:rsidP="00D74B52">
            <w:pPr>
              <w:jc w:val="center"/>
              <w:rPr>
                <w:b/>
                <w:i/>
              </w:rPr>
            </w:pPr>
          </w:p>
        </w:tc>
      </w:tr>
      <w:tr w:rsidR="000C564F" w14:paraId="5A19B257" w14:textId="77777777" w:rsidTr="00D74B52">
        <w:trPr>
          <w:trHeight w:val="2148"/>
        </w:trPr>
        <w:tc>
          <w:tcPr>
            <w:tcW w:w="837" w:type="dxa"/>
          </w:tcPr>
          <w:p w14:paraId="6F4667A3" w14:textId="77777777" w:rsidR="000C564F" w:rsidRDefault="000C564F" w:rsidP="00D74B52">
            <w:pPr>
              <w:ind w:right="-90"/>
            </w:pPr>
            <w:r>
              <w:t>13:30-15:30</w:t>
            </w:r>
          </w:p>
        </w:tc>
        <w:tc>
          <w:tcPr>
            <w:tcW w:w="7835" w:type="dxa"/>
          </w:tcPr>
          <w:p w14:paraId="7B02D711" w14:textId="77777777" w:rsidR="000C564F" w:rsidRPr="002C1228" w:rsidRDefault="000C564F" w:rsidP="00D74B52">
            <w:pPr>
              <w:ind w:left="349" w:hanging="349"/>
            </w:pPr>
            <w:r w:rsidRPr="002C1228">
              <w:t>5.</w:t>
            </w:r>
            <w:r w:rsidRPr="002C1228">
              <w:tab/>
              <w:t>Integration of the three dimensions of Sustainable Development, assessment of policy effects and linkages</w:t>
            </w:r>
          </w:p>
          <w:p w14:paraId="370194F2" w14:textId="77777777" w:rsidR="000C564F" w:rsidRDefault="000C564F" w:rsidP="00D74B52">
            <w:pPr>
              <w:ind w:left="349" w:hanging="349"/>
            </w:pPr>
            <w:r w:rsidRPr="002C1228">
              <w:t>6.</w:t>
            </w:r>
            <w:r w:rsidRPr="002C1228">
              <w:tab/>
              <w:t>Consultation and coordination across government levels</w:t>
            </w:r>
          </w:p>
          <w:p w14:paraId="52BBE5CC" w14:textId="77777777" w:rsidR="000C564F" w:rsidRDefault="000C564F" w:rsidP="00D74B52">
            <w:pPr>
              <w:ind w:left="349" w:hanging="349"/>
            </w:pPr>
          </w:p>
          <w:p w14:paraId="0D6BB3CE" w14:textId="77777777" w:rsidR="000C564F" w:rsidRPr="002C1228" w:rsidRDefault="000C564F" w:rsidP="00D74B52">
            <w:pPr>
              <w:ind w:left="349" w:hanging="349"/>
            </w:pPr>
            <w:r w:rsidRPr="002C1228">
              <w:t>7.</w:t>
            </w:r>
            <w:r w:rsidRPr="002C1228">
              <w:tab/>
              <w:t>Monitoring and reporting for policy coherence</w:t>
            </w:r>
          </w:p>
          <w:p w14:paraId="77DDA080" w14:textId="77777777" w:rsidR="000C564F" w:rsidRPr="000B104E" w:rsidRDefault="000C564F" w:rsidP="00D74B52">
            <w:pPr>
              <w:ind w:left="349" w:hanging="349"/>
            </w:pPr>
            <w:r w:rsidRPr="002C1228">
              <w:t>8.</w:t>
            </w:r>
            <w:r w:rsidRPr="002C1228">
              <w:tab/>
              <w:t>Financial resources and tools</w:t>
            </w:r>
          </w:p>
        </w:tc>
        <w:tc>
          <w:tcPr>
            <w:tcW w:w="1984" w:type="dxa"/>
          </w:tcPr>
          <w:p w14:paraId="0C635753" w14:textId="77777777" w:rsidR="000C564F" w:rsidRPr="002C1228" w:rsidRDefault="000C564F" w:rsidP="00D74B52">
            <w:pPr>
              <w:ind w:left="349" w:hanging="349"/>
            </w:pPr>
            <w:r>
              <w:rPr>
                <w:b/>
              </w:rPr>
              <w:t>Yannis Derbali</w:t>
            </w:r>
          </w:p>
        </w:tc>
      </w:tr>
      <w:tr w:rsidR="000C564F" w14:paraId="436B5B7E" w14:textId="77777777" w:rsidTr="00D74B52">
        <w:tc>
          <w:tcPr>
            <w:tcW w:w="8672" w:type="dxa"/>
            <w:gridSpan w:val="2"/>
          </w:tcPr>
          <w:p w14:paraId="26DB8D5F" w14:textId="77777777" w:rsidR="000C564F" w:rsidRPr="00B532D9" w:rsidRDefault="000C564F" w:rsidP="00D74B52">
            <w:pPr>
              <w:jc w:val="center"/>
              <w:rPr>
                <w:b/>
                <w:i/>
              </w:rPr>
            </w:pPr>
            <w:r>
              <w:rPr>
                <w:b/>
                <w:i/>
              </w:rPr>
              <w:t>Coffee break (30 mins)</w:t>
            </w:r>
          </w:p>
        </w:tc>
        <w:tc>
          <w:tcPr>
            <w:tcW w:w="1984" w:type="dxa"/>
          </w:tcPr>
          <w:p w14:paraId="4FCB4037" w14:textId="77777777" w:rsidR="000C564F" w:rsidRDefault="000C564F" w:rsidP="00D74B52">
            <w:pPr>
              <w:jc w:val="center"/>
              <w:rPr>
                <w:b/>
                <w:i/>
              </w:rPr>
            </w:pPr>
          </w:p>
        </w:tc>
      </w:tr>
      <w:tr w:rsidR="000C564F" w14:paraId="3355B83A" w14:textId="77777777" w:rsidTr="00D74B52">
        <w:tc>
          <w:tcPr>
            <w:tcW w:w="837" w:type="dxa"/>
          </w:tcPr>
          <w:p w14:paraId="08A1BEA1" w14:textId="77777777" w:rsidR="000C564F" w:rsidRDefault="000C564F" w:rsidP="00D74B52">
            <w:pPr>
              <w:ind w:right="-90"/>
            </w:pPr>
            <w:r>
              <w:t>16:00-16:45</w:t>
            </w:r>
          </w:p>
        </w:tc>
        <w:tc>
          <w:tcPr>
            <w:tcW w:w="7835" w:type="dxa"/>
          </w:tcPr>
          <w:p w14:paraId="401ACF66" w14:textId="77777777" w:rsidR="000C564F" w:rsidRPr="00785025" w:rsidRDefault="000C564F" w:rsidP="00D74B52">
            <w:pPr>
              <w:rPr>
                <w:bCs/>
              </w:rPr>
            </w:pPr>
            <w:r w:rsidRPr="00785025">
              <w:rPr>
                <w:bCs/>
              </w:rPr>
              <w:t>Additional feedback on the overall indicator Framework and discussion on application of the methodology nationally (responsible institution/s) and methodological considerations (data collection methods, frequency)</w:t>
            </w:r>
          </w:p>
        </w:tc>
        <w:tc>
          <w:tcPr>
            <w:tcW w:w="1984" w:type="dxa"/>
          </w:tcPr>
          <w:p w14:paraId="5F935CA3" w14:textId="0B787F52" w:rsidR="000C564F" w:rsidRDefault="000C564F" w:rsidP="00D74B52">
            <w:pPr>
              <w:rPr>
                <w:b/>
              </w:rPr>
            </w:pPr>
            <w:r>
              <w:rPr>
                <w:b/>
              </w:rPr>
              <w:t>Yannis Derbali</w:t>
            </w:r>
          </w:p>
        </w:tc>
      </w:tr>
      <w:tr w:rsidR="000C564F" w14:paraId="74D4BD3C" w14:textId="77777777" w:rsidTr="00D74B52">
        <w:tc>
          <w:tcPr>
            <w:tcW w:w="837" w:type="dxa"/>
          </w:tcPr>
          <w:p w14:paraId="7A8948D5" w14:textId="77777777" w:rsidR="000C564F" w:rsidRDefault="000C564F" w:rsidP="00D74B52">
            <w:pPr>
              <w:ind w:right="-90"/>
            </w:pPr>
            <w:r>
              <w:t>16:45-17:15</w:t>
            </w:r>
          </w:p>
        </w:tc>
        <w:tc>
          <w:tcPr>
            <w:tcW w:w="7835" w:type="dxa"/>
          </w:tcPr>
          <w:p w14:paraId="7FBC0351" w14:textId="77777777" w:rsidR="000C564F" w:rsidRPr="00785025" w:rsidRDefault="000C564F" w:rsidP="00D74B52">
            <w:pPr>
              <w:rPr>
                <w:bCs/>
              </w:rPr>
            </w:pPr>
            <w:r w:rsidRPr="00785025">
              <w:rPr>
                <w:bCs/>
              </w:rPr>
              <w:t>Conclusions and closing remarks</w:t>
            </w:r>
          </w:p>
        </w:tc>
        <w:tc>
          <w:tcPr>
            <w:tcW w:w="1984" w:type="dxa"/>
          </w:tcPr>
          <w:p w14:paraId="0675EB69" w14:textId="77777777" w:rsidR="000C564F" w:rsidRDefault="000C564F" w:rsidP="00D74B52">
            <w:pPr>
              <w:rPr>
                <w:b/>
              </w:rPr>
            </w:pPr>
            <w:r>
              <w:rPr>
                <w:b/>
              </w:rPr>
              <w:t>Diane Klaimi</w:t>
            </w:r>
          </w:p>
        </w:tc>
      </w:tr>
    </w:tbl>
    <w:p w14:paraId="7324D540" w14:textId="77777777" w:rsidR="00146F50" w:rsidRPr="00021B25" w:rsidRDefault="00146F50" w:rsidP="00146F50">
      <w:pPr>
        <w:spacing w:after="0" w:line="240" w:lineRule="auto"/>
      </w:pPr>
    </w:p>
    <w:sectPr w:rsidR="00146F50" w:rsidRPr="00021B25" w:rsidSect="0045347E">
      <w:headerReference w:type="default" r:id="rId7"/>
      <w:footerReference w:type="default" r:id="rId8"/>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2701A" w14:textId="77777777" w:rsidR="00D02C66" w:rsidRDefault="00D02C66" w:rsidP="00136314">
      <w:pPr>
        <w:spacing w:after="0" w:line="240" w:lineRule="auto"/>
      </w:pPr>
      <w:r>
        <w:separator/>
      </w:r>
    </w:p>
  </w:endnote>
  <w:endnote w:type="continuationSeparator" w:id="0">
    <w:p w14:paraId="4D263332" w14:textId="77777777" w:rsidR="00D02C66" w:rsidRDefault="00D02C66" w:rsidP="0013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294618"/>
      <w:docPartObj>
        <w:docPartGallery w:val="Page Numbers (Bottom of Page)"/>
        <w:docPartUnique/>
      </w:docPartObj>
    </w:sdtPr>
    <w:sdtEndPr>
      <w:rPr>
        <w:noProof/>
      </w:rPr>
    </w:sdtEndPr>
    <w:sdtContent>
      <w:p w14:paraId="3AA37146" w14:textId="6E7B8E61" w:rsidR="001972D7" w:rsidRDefault="001972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4EAB9" w14:textId="77777777" w:rsidR="007C3AD7" w:rsidRDefault="007C3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32DC4" w14:textId="77777777" w:rsidR="00D02C66" w:rsidRDefault="00D02C66" w:rsidP="00136314">
      <w:pPr>
        <w:spacing w:after="0" w:line="240" w:lineRule="auto"/>
      </w:pPr>
      <w:r>
        <w:separator/>
      </w:r>
    </w:p>
  </w:footnote>
  <w:footnote w:type="continuationSeparator" w:id="0">
    <w:p w14:paraId="13BC51DA" w14:textId="77777777" w:rsidR="00D02C66" w:rsidRDefault="00D02C66" w:rsidP="00136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0C44" w14:textId="40FF7CA1" w:rsidR="00D431E1" w:rsidRDefault="00D431E1">
    <w:pPr>
      <w:pStyle w:val="Header"/>
    </w:pPr>
    <w:r>
      <w:rPr>
        <w:noProof/>
        <w:lang w:val="en-GB" w:eastAsia="en-GB"/>
      </w:rPr>
      <w:drawing>
        <wp:anchor distT="0" distB="0" distL="114300" distR="114300" simplePos="0" relativeHeight="251657216" behindDoc="0" locked="0" layoutInCell="1" allowOverlap="1" wp14:anchorId="2E55A380" wp14:editId="0CD59BD0">
          <wp:simplePos x="0" y="0"/>
          <wp:positionH relativeFrom="column">
            <wp:posOffset>5667375</wp:posOffset>
          </wp:positionH>
          <wp:positionV relativeFrom="paragraph">
            <wp:posOffset>-304800</wp:posOffset>
          </wp:positionV>
          <wp:extent cx="977265"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_Logo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265" cy="52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B7F6A"/>
    <w:multiLevelType w:val="hybridMultilevel"/>
    <w:tmpl w:val="D24895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AB00887"/>
    <w:multiLevelType w:val="hybridMultilevel"/>
    <w:tmpl w:val="CBE80A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BFB438F"/>
    <w:multiLevelType w:val="hybridMultilevel"/>
    <w:tmpl w:val="1DC44960"/>
    <w:lvl w:ilvl="0" w:tplc="7422D34C">
      <w:start w:val="1"/>
      <w:numFmt w:val="bullet"/>
      <w:lvlText w:val="•"/>
      <w:lvlJc w:val="left"/>
      <w:pPr>
        <w:tabs>
          <w:tab w:val="num" w:pos="720"/>
        </w:tabs>
        <w:ind w:left="720" w:hanging="360"/>
      </w:pPr>
      <w:rPr>
        <w:rFonts w:ascii="Times New Roman" w:hAnsi="Times New Roman" w:hint="default"/>
      </w:rPr>
    </w:lvl>
    <w:lvl w:ilvl="1" w:tplc="C97C1136" w:tentative="1">
      <w:start w:val="1"/>
      <w:numFmt w:val="bullet"/>
      <w:lvlText w:val="•"/>
      <w:lvlJc w:val="left"/>
      <w:pPr>
        <w:tabs>
          <w:tab w:val="num" w:pos="1440"/>
        </w:tabs>
        <w:ind w:left="1440" w:hanging="360"/>
      </w:pPr>
      <w:rPr>
        <w:rFonts w:ascii="Times New Roman" w:hAnsi="Times New Roman" w:hint="default"/>
      </w:rPr>
    </w:lvl>
    <w:lvl w:ilvl="2" w:tplc="A2EE106E" w:tentative="1">
      <w:start w:val="1"/>
      <w:numFmt w:val="bullet"/>
      <w:lvlText w:val="•"/>
      <w:lvlJc w:val="left"/>
      <w:pPr>
        <w:tabs>
          <w:tab w:val="num" w:pos="2160"/>
        </w:tabs>
        <w:ind w:left="2160" w:hanging="360"/>
      </w:pPr>
      <w:rPr>
        <w:rFonts w:ascii="Times New Roman" w:hAnsi="Times New Roman" w:hint="default"/>
      </w:rPr>
    </w:lvl>
    <w:lvl w:ilvl="3" w:tplc="8A5ECF04" w:tentative="1">
      <w:start w:val="1"/>
      <w:numFmt w:val="bullet"/>
      <w:lvlText w:val="•"/>
      <w:lvlJc w:val="left"/>
      <w:pPr>
        <w:tabs>
          <w:tab w:val="num" w:pos="2880"/>
        </w:tabs>
        <w:ind w:left="2880" w:hanging="360"/>
      </w:pPr>
      <w:rPr>
        <w:rFonts w:ascii="Times New Roman" w:hAnsi="Times New Roman" w:hint="default"/>
      </w:rPr>
    </w:lvl>
    <w:lvl w:ilvl="4" w:tplc="7B9C7C5E" w:tentative="1">
      <w:start w:val="1"/>
      <w:numFmt w:val="bullet"/>
      <w:lvlText w:val="•"/>
      <w:lvlJc w:val="left"/>
      <w:pPr>
        <w:tabs>
          <w:tab w:val="num" w:pos="3600"/>
        </w:tabs>
        <w:ind w:left="3600" w:hanging="360"/>
      </w:pPr>
      <w:rPr>
        <w:rFonts w:ascii="Times New Roman" w:hAnsi="Times New Roman" w:hint="default"/>
      </w:rPr>
    </w:lvl>
    <w:lvl w:ilvl="5" w:tplc="8EE43A50" w:tentative="1">
      <w:start w:val="1"/>
      <w:numFmt w:val="bullet"/>
      <w:lvlText w:val="•"/>
      <w:lvlJc w:val="left"/>
      <w:pPr>
        <w:tabs>
          <w:tab w:val="num" w:pos="4320"/>
        </w:tabs>
        <w:ind w:left="4320" w:hanging="360"/>
      </w:pPr>
      <w:rPr>
        <w:rFonts w:ascii="Times New Roman" w:hAnsi="Times New Roman" w:hint="default"/>
      </w:rPr>
    </w:lvl>
    <w:lvl w:ilvl="6" w:tplc="873205AE" w:tentative="1">
      <w:start w:val="1"/>
      <w:numFmt w:val="bullet"/>
      <w:lvlText w:val="•"/>
      <w:lvlJc w:val="left"/>
      <w:pPr>
        <w:tabs>
          <w:tab w:val="num" w:pos="5040"/>
        </w:tabs>
        <w:ind w:left="5040" w:hanging="360"/>
      </w:pPr>
      <w:rPr>
        <w:rFonts w:ascii="Times New Roman" w:hAnsi="Times New Roman" w:hint="default"/>
      </w:rPr>
    </w:lvl>
    <w:lvl w:ilvl="7" w:tplc="1D7EBF36" w:tentative="1">
      <w:start w:val="1"/>
      <w:numFmt w:val="bullet"/>
      <w:lvlText w:val="•"/>
      <w:lvlJc w:val="left"/>
      <w:pPr>
        <w:tabs>
          <w:tab w:val="num" w:pos="5760"/>
        </w:tabs>
        <w:ind w:left="5760" w:hanging="360"/>
      </w:pPr>
      <w:rPr>
        <w:rFonts w:ascii="Times New Roman" w:hAnsi="Times New Roman" w:hint="default"/>
      </w:rPr>
    </w:lvl>
    <w:lvl w:ilvl="8" w:tplc="16644D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0BF2234"/>
    <w:multiLevelType w:val="hybridMultilevel"/>
    <w:tmpl w:val="F4449750"/>
    <w:lvl w:ilvl="0" w:tplc="820458B0">
      <w:start w:val="2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F027C4"/>
    <w:multiLevelType w:val="hybridMultilevel"/>
    <w:tmpl w:val="9AB69EEE"/>
    <w:lvl w:ilvl="0" w:tplc="0409000F">
      <w:start w:val="1"/>
      <w:numFmt w:val="decimal"/>
      <w:lvlText w:val="%1."/>
      <w:lvlJc w:val="left"/>
      <w:pPr>
        <w:tabs>
          <w:tab w:val="num" w:pos="1080"/>
        </w:tabs>
        <w:ind w:left="1080" w:hanging="360"/>
      </w:pPr>
      <w:rPr>
        <w:rFonts w:hint="default"/>
      </w:rPr>
    </w:lvl>
    <w:lvl w:ilvl="1" w:tplc="C97C1136" w:tentative="1">
      <w:start w:val="1"/>
      <w:numFmt w:val="bullet"/>
      <w:lvlText w:val="•"/>
      <w:lvlJc w:val="left"/>
      <w:pPr>
        <w:tabs>
          <w:tab w:val="num" w:pos="1800"/>
        </w:tabs>
        <w:ind w:left="1800" w:hanging="360"/>
      </w:pPr>
      <w:rPr>
        <w:rFonts w:ascii="Times New Roman" w:hAnsi="Times New Roman" w:hint="default"/>
      </w:rPr>
    </w:lvl>
    <w:lvl w:ilvl="2" w:tplc="A2EE106E" w:tentative="1">
      <w:start w:val="1"/>
      <w:numFmt w:val="bullet"/>
      <w:lvlText w:val="•"/>
      <w:lvlJc w:val="left"/>
      <w:pPr>
        <w:tabs>
          <w:tab w:val="num" w:pos="2520"/>
        </w:tabs>
        <w:ind w:left="2520" w:hanging="360"/>
      </w:pPr>
      <w:rPr>
        <w:rFonts w:ascii="Times New Roman" w:hAnsi="Times New Roman" w:hint="default"/>
      </w:rPr>
    </w:lvl>
    <w:lvl w:ilvl="3" w:tplc="8A5ECF04" w:tentative="1">
      <w:start w:val="1"/>
      <w:numFmt w:val="bullet"/>
      <w:lvlText w:val="•"/>
      <w:lvlJc w:val="left"/>
      <w:pPr>
        <w:tabs>
          <w:tab w:val="num" w:pos="3240"/>
        </w:tabs>
        <w:ind w:left="3240" w:hanging="360"/>
      </w:pPr>
      <w:rPr>
        <w:rFonts w:ascii="Times New Roman" w:hAnsi="Times New Roman" w:hint="default"/>
      </w:rPr>
    </w:lvl>
    <w:lvl w:ilvl="4" w:tplc="7B9C7C5E" w:tentative="1">
      <w:start w:val="1"/>
      <w:numFmt w:val="bullet"/>
      <w:lvlText w:val="•"/>
      <w:lvlJc w:val="left"/>
      <w:pPr>
        <w:tabs>
          <w:tab w:val="num" w:pos="3960"/>
        </w:tabs>
        <w:ind w:left="3960" w:hanging="360"/>
      </w:pPr>
      <w:rPr>
        <w:rFonts w:ascii="Times New Roman" w:hAnsi="Times New Roman" w:hint="default"/>
      </w:rPr>
    </w:lvl>
    <w:lvl w:ilvl="5" w:tplc="8EE43A50" w:tentative="1">
      <w:start w:val="1"/>
      <w:numFmt w:val="bullet"/>
      <w:lvlText w:val="•"/>
      <w:lvlJc w:val="left"/>
      <w:pPr>
        <w:tabs>
          <w:tab w:val="num" w:pos="4680"/>
        </w:tabs>
        <w:ind w:left="4680" w:hanging="360"/>
      </w:pPr>
      <w:rPr>
        <w:rFonts w:ascii="Times New Roman" w:hAnsi="Times New Roman" w:hint="default"/>
      </w:rPr>
    </w:lvl>
    <w:lvl w:ilvl="6" w:tplc="873205AE" w:tentative="1">
      <w:start w:val="1"/>
      <w:numFmt w:val="bullet"/>
      <w:lvlText w:val="•"/>
      <w:lvlJc w:val="left"/>
      <w:pPr>
        <w:tabs>
          <w:tab w:val="num" w:pos="5400"/>
        </w:tabs>
        <w:ind w:left="5400" w:hanging="360"/>
      </w:pPr>
      <w:rPr>
        <w:rFonts w:ascii="Times New Roman" w:hAnsi="Times New Roman" w:hint="default"/>
      </w:rPr>
    </w:lvl>
    <w:lvl w:ilvl="7" w:tplc="1D7EBF36" w:tentative="1">
      <w:start w:val="1"/>
      <w:numFmt w:val="bullet"/>
      <w:lvlText w:val="•"/>
      <w:lvlJc w:val="left"/>
      <w:pPr>
        <w:tabs>
          <w:tab w:val="num" w:pos="6120"/>
        </w:tabs>
        <w:ind w:left="6120" w:hanging="360"/>
      </w:pPr>
      <w:rPr>
        <w:rFonts w:ascii="Times New Roman" w:hAnsi="Times New Roman" w:hint="default"/>
      </w:rPr>
    </w:lvl>
    <w:lvl w:ilvl="8" w:tplc="16644D40"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9C"/>
    <w:rsid w:val="0001186F"/>
    <w:rsid w:val="00014239"/>
    <w:rsid w:val="00021B25"/>
    <w:rsid w:val="00023211"/>
    <w:rsid w:val="0003242F"/>
    <w:rsid w:val="00042775"/>
    <w:rsid w:val="00053316"/>
    <w:rsid w:val="0005360B"/>
    <w:rsid w:val="000644B2"/>
    <w:rsid w:val="00090F4F"/>
    <w:rsid w:val="000A1042"/>
    <w:rsid w:val="000B104E"/>
    <w:rsid w:val="000B7F0E"/>
    <w:rsid w:val="000C5437"/>
    <w:rsid w:val="000C564F"/>
    <w:rsid w:val="0012416B"/>
    <w:rsid w:val="00134887"/>
    <w:rsid w:val="001349BB"/>
    <w:rsid w:val="00136314"/>
    <w:rsid w:val="00146F50"/>
    <w:rsid w:val="00157A4C"/>
    <w:rsid w:val="001620ED"/>
    <w:rsid w:val="0016739F"/>
    <w:rsid w:val="0018774B"/>
    <w:rsid w:val="00196076"/>
    <w:rsid w:val="001972D7"/>
    <w:rsid w:val="001A7A20"/>
    <w:rsid w:val="001C3CFC"/>
    <w:rsid w:val="001D0181"/>
    <w:rsid w:val="001E5B41"/>
    <w:rsid w:val="001E74A4"/>
    <w:rsid w:val="002011E9"/>
    <w:rsid w:val="00211C2B"/>
    <w:rsid w:val="0022677D"/>
    <w:rsid w:val="00237E60"/>
    <w:rsid w:val="00245EF9"/>
    <w:rsid w:val="002546F3"/>
    <w:rsid w:val="00290AF3"/>
    <w:rsid w:val="0029126A"/>
    <w:rsid w:val="00295E97"/>
    <w:rsid w:val="002A050E"/>
    <w:rsid w:val="002A20C9"/>
    <w:rsid w:val="002B7355"/>
    <w:rsid w:val="002C1228"/>
    <w:rsid w:val="002C7BEC"/>
    <w:rsid w:val="002D3590"/>
    <w:rsid w:val="002F2E38"/>
    <w:rsid w:val="002F56E5"/>
    <w:rsid w:val="00313E3C"/>
    <w:rsid w:val="0032443D"/>
    <w:rsid w:val="00357217"/>
    <w:rsid w:val="00361B01"/>
    <w:rsid w:val="00371FFC"/>
    <w:rsid w:val="00391385"/>
    <w:rsid w:val="00393924"/>
    <w:rsid w:val="00395DFE"/>
    <w:rsid w:val="003B36E9"/>
    <w:rsid w:val="003C5EF4"/>
    <w:rsid w:val="003C72C6"/>
    <w:rsid w:val="003D3AD4"/>
    <w:rsid w:val="004255A7"/>
    <w:rsid w:val="00430C61"/>
    <w:rsid w:val="0045347E"/>
    <w:rsid w:val="00475C2F"/>
    <w:rsid w:val="0047705F"/>
    <w:rsid w:val="00481904"/>
    <w:rsid w:val="00496525"/>
    <w:rsid w:val="004979A8"/>
    <w:rsid w:val="004A0745"/>
    <w:rsid w:val="004E3056"/>
    <w:rsid w:val="004E6301"/>
    <w:rsid w:val="004F14B7"/>
    <w:rsid w:val="004F4828"/>
    <w:rsid w:val="00502458"/>
    <w:rsid w:val="00505488"/>
    <w:rsid w:val="005103E8"/>
    <w:rsid w:val="00514989"/>
    <w:rsid w:val="00521F2F"/>
    <w:rsid w:val="00537AE4"/>
    <w:rsid w:val="00551C9C"/>
    <w:rsid w:val="00560A76"/>
    <w:rsid w:val="005612BE"/>
    <w:rsid w:val="0057763A"/>
    <w:rsid w:val="00593D24"/>
    <w:rsid w:val="005A5B18"/>
    <w:rsid w:val="005A7371"/>
    <w:rsid w:val="005D5F5A"/>
    <w:rsid w:val="005F06EC"/>
    <w:rsid w:val="006022C0"/>
    <w:rsid w:val="0060521F"/>
    <w:rsid w:val="00605EF2"/>
    <w:rsid w:val="006277CA"/>
    <w:rsid w:val="00631C92"/>
    <w:rsid w:val="00652ED3"/>
    <w:rsid w:val="00683FA4"/>
    <w:rsid w:val="00684FA9"/>
    <w:rsid w:val="006852F6"/>
    <w:rsid w:val="0069362A"/>
    <w:rsid w:val="006E3D7E"/>
    <w:rsid w:val="006E744E"/>
    <w:rsid w:val="006E774C"/>
    <w:rsid w:val="00700D10"/>
    <w:rsid w:val="00707C12"/>
    <w:rsid w:val="00707E7C"/>
    <w:rsid w:val="00714E08"/>
    <w:rsid w:val="00716607"/>
    <w:rsid w:val="00724FE7"/>
    <w:rsid w:val="007314DC"/>
    <w:rsid w:val="00734C26"/>
    <w:rsid w:val="007500D0"/>
    <w:rsid w:val="007876F5"/>
    <w:rsid w:val="0079336E"/>
    <w:rsid w:val="007C3AD7"/>
    <w:rsid w:val="007C64B8"/>
    <w:rsid w:val="007E05D1"/>
    <w:rsid w:val="007E708B"/>
    <w:rsid w:val="0080326E"/>
    <w:rsid w:val="0080503E"/>
    <w:rsid w:val="00807816"/>
    <w:rsid w:val="00817821"/>
    <w:rsid w:val="0084200E"/>
    <w:rsid w:val="00850497"/>
    <w:rsid w:val="008634DF"/>
    <w:rsid w:val="00871448"/>
    <w:rsid w:val="00881EB6"/>
    <w:rsid w:val="008821B9"/>
    <w:rsid w:val="0089059C"/>
    <w:rsid w:val="008949E5"/>
    <w:rsid w:val="008A49A0"/>
    <w:rsid w:val="008A7A9C"/>
    <w:rsid w:val="008B08D8"/>
    <w:rsid w:val="008B35CE"/>
    <w:rsid w:val="008C63F4"/>
    <w:rsid w:val="008D6FBF"/>
    <w:rsid w:val="008E6607"/>
    <w:rsid w:val="008F1484"/>
    <w:rsid w:val="00920D66"/>
    <w:rsid w:val="00921B83"/>
    <w:rsid w:val="0092383E"/>
    <w:rsid w:val="009255A5"/>
    <w:rsid w:val="0093449F"/>
    <w:rsid w:val="0094000A"/>
    <w:rsid w:val="00956B86"/>
    <w:rsid w:val="009649C2"/>
    <w:rsid w:val="00967170"/>
    <w:rsid w:val="00977514"/>
    <w:rsid w:val="0098498D"/>
    <w:rsid w:val="00996A12"/>
    <w:rsid w:val="009A7F4C"/>
    <w:rsid w:val="009B6D13"/>
    <w:rsid w:val="009C4563"/>
    <w:rsid w:val="009E13CA"/>
    <w:rsid w:val="009E6993"/>
    <w:rsid w:val="009F1AB7"/>
    <w:rsid w:val="00A0712A"/>
    <w:rsid w:val="00A0748A"/>
    <w:rsid w:val="00A10D86"/>
    <w:rsid w:val="00A217A3"/>
    <w:rsid w:val="00A37F03"/>
    <w:rsid w:val="00A45DBA"/>
    <w:rsid w:val="00A61CF5"/>
    <w:rsid w:val="00A712EA"/>
    <w:rsid w:val="00A83EE5"/>
    <w:rsid w:val="00A844E8"/>
    <w:rsid w:val="00A85902"/>
    <w:rsid w:val="00A908CA"/>
    <w:rsid w:val="00A93C68"/>
    <w:rsid w:val="00A9698A"/>
    <w:rsid w:val="00AB1E80"/>
    <w:rsid w:val="00AB7CCA"/>
    <w:rsid w:val="00AD4DB3"/>
    <w:rsid w:val="00AD594E"/>
    <w:rsid w:val="00AE0AF2"/>
    <w:rsid w:val="00AF0180"/>
    <w:rsid w:val="00AF3A7D"/>
    <w:rsid w:val="00AF598B"/>
    <w:rsid w:val="00B21559"/>
    <w:rsid w:val="00B30419"/>
    <w:rsid w:val="00B335CC"/>
    <w:rsid w:val="00B370C4"/>
    <w:rsid w:val="00B40F1B"/>
    <w:rsid w:val="00B43A7E"/>
    <w:rsid w:val="00B532D9"/>
    <w:rsid w:val="00B65B18"/>
    <w:rsid w:val="00B873D8"/>
    <w:rsid w:val="00B901C9"/>
    <w:rsid w:val="00B91B2D"/>
    <w:rsid w:val="00B92414"/>
    <w:rsid w:val="00B96D52"/>
    <w:rsid w:val="00BB1A3F"/>
    <w:rsid w:val="00BB3E0B"/>
    <w:rsid w:val="00BB3E4A"/>
    <w:rsid w:val="00BB54D0"/>
    <w:rsid w:val="00BD0B27"/>
    <w:rsid w:val="00BD3CE2"/>
    <w:rsid w:val="00BD3ECE"/>
    <w:rsid w:val="00BF0089"/>
    <w:rsid w:val="00BF26F1"/>
    <w:rsid w:val="00C00A08"/>
    <w:rsid w:val="00C01381"/>
    <w:rsid w:val="00C1718F"/>
    <w:rsid w:val="00C17BCD"/>
    <w:rsid w:val="00C22B4F"/>
    <w:rsid w:val="00C265A7"/>
    <w:rsid w:val="00C30A3D"/>
    <w:rsid w:val="00C41326"/>
    <w:rsid w:val="00C4551B"/>
    <w:rsid w:val="00C710EC"/>
    <w:rsid w:val="00C75BA8"/>
    <w:rsid w:val="00C933EB"/>
    <w:rsid w:val="00CB1AF0"/>
    <w:rsid w:val="00CB4F13"/>
    <w:rsid w:val="00CC25C2"/>
    <w:rsid w:val="00CD1B40"/>
    <w:rsid w:val="00CE05A6"/>
    <w:rsid w:val="00CE360E"/>
    <w:rsid w:val="00D02C66"/>
    <w:rsid w:val="00D27632"/>
    <w:rsid w:val="00D4259C"/>
    <w:rsid w:val="00D431E1"/>
    <w:rsid w:val="00D46456"/>
    <w:rsid w:val="00D73C6C"/>
    <w:rsid w:val="00D821EB"/>
    <w:rsid w:val="00DA04A9"/>
    <w:rsid w:val="00DB17D9"/>
    <w:rsid w:val="00DB6CB4"/>
    <w:rsid w:val="00DF4DD0"/>
    <w:rsid w:val="00E3560F"/>
    <w:rsid w:val="00E55EE5"/>
    <w:rsid w:val="00E642B6"/>
    <w:rsid w:val="00E75853"/>
    <w:rsid w:val="00E81C06"/>
    <w:rsid w:val="00E86941"/>
    <w:rsid w:val="00E9577E"/>
    <w:rsid w:val="00E96232"/>
    <w:rsid w:val="00EA6435"/>
    <w:rsid w:val="00ED1083"/>
    <w:rsid w:val="00F03353"/>
    <w:rsid w:val="00F07343"/>
    <w:rsid w:val="00F07A75"/>
    <w:rsid w:val="00F2036D"/>
    <w:rsid w:val="00F2136B"/>
    <w:rsid w:val="00F22726"/>
    <w:rsid w:val="00F36AFB"/>
    <w:rsid w:val="00F450C9"/>
    <w:rsid w:val="00F54B14"/>
    <w:rsid w:val="00F6729B"/>
    <w:rsid w:val="00F9149F"/>
    <w:rsid w:val="00FA272A"/>
    <w:rsid w:val="00FC31CC"/>
    <w:rsid w:val="00FC6141"/>
    <w:rsid w:val="00FD43AD"/>
    <w:rsid w:val="00FE7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181A0"/>
  <w15:chartTrackingRefBased/>
  <w15:docId w15:val="{9323F59A-A1BD-4571-8907-2EFDD8A7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63A"/>
    <w:pPr>
      <w:ind w:left="720"/>
      <w:contextualSpacing/>
    </w:pPr>
  </w:style>
  <w:style w:type="paragraph" w:styleId="PlainText">
    <w:name w:val="Plain Text"/>
    <w:basedOn w:val="Normal"/>
    <w:link w:val="PlainTextChar"/>
    <w:uiPriority w:val="99"/>
    <w:semiHidden/>
    <w:unhideWhenUsed/>
    <w:rsid w:val="00395DF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95DFE"/>
    <w:rPr>
      <w:rFonts w:ascii="Calibri" w:hAnsi="Calibri" w:cs="Consolas"/>
      <w:szCs w:val="21"/>
    </w:rPr>
  </w:style>
  <w:style w:type="paragraph" w:styleId="Header">
    <w:name w:val="header"/>
    <w:basedOn w:val="Normal"/>
    <w:link w:val="HeaderChar"/>
    <w:uiPriority w:val="99"/>
    <w:unhideWhenUsed/>
    <w:rsid w:val="00136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14"/>
  </w:style>
  <w:style w:type="paragraph" w:styleId="Footer">
    <w:name w:val="footer"/>
    <w:basedOn w:val="Normal"/>
    <w:link w:val="FooterChar"/>
    <w:uiPriority w:val="99"/>
    <w:unhideWhenUsed/>
    <w:rsid w:val="00136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14"/>
  </w:style>
  <w:style w:type="paragraph" w:styleId="BalloonText">
    <w:name w:val="Balloon Text"/>
    <w:basedOn w:val="Normal"/>
    <w:link w:val="BalloonTextChar"/>
    <w:uiPriority w:val="99"/>
    <w:semiHidden/>
    <w:unhideWhenUsed/>
    <w:rsid w:val="00F21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958246">
      <w:bodyDiv w:val="1"/>
      <w:marLeft w:val="0"/>
      <w:marRight w:val="0"/>
      <w:marTop w:val="0"/>
      <w:marBottom w:val="0"/>
      <w:divBdr>
        <w:top w:val="none" w:sz="0" w:space="0" w:color="auto"/>
        <w:left w:val="none" w:sz="0" w:space="0" w:color="auto"/>
        <w:bottom w:val="none" w:sz="0" w:space="0" w:color="auto"/>
        <w:right w:val="none" w:sz="0" w:space="0" w:color="auto"/>
      </w:divBdr>
      <w:divsChild>
        <w:div w:id="528878802">
          <w:marLeft w:val="547"/>
          <w:marRight w:val="0"/>
          <w:marTop w:val="0"/>
          <w:marBottom w:val="0"/>
          <w:divBdr>
            <w:top w:val="none" w:sz="0" w:space="0" w:color="auto"/>
            <w:left w:val="none" w:sz="0" w:space="0" w:color="auto"/>
            <w:bottom w:val="none" w:sz="0" w:space="0" w:color="auto"/>
            <w:right w:val="none" w:sz="0" w:space="0" w:color="auto"/>
          </w:divBdr>
        </w:div>
        <w:div w:id="2110194152">
          <w:marLeft w:val="547"/>
          <w:marRight w:val="0"/>
          <w:marTop w:val="0"/>
          <w:marBottom w:val="0"/>
          <w:divBdr>
            <w:top w:val="none" w:sz="0" w:space="0" w:color="auto"/>
            <w:left w:val="none" w:sz="0" w:space="0" w:color="auto"/>
            <w:bottom w:val="none" w:sz="0" w:space="0" w:color="auto"/>
            <w:right w:val="none" w:sz="0" w:space="0" w:color="auto"/>
          </w:divBdr>
        </w:div>
        <w:div w:id="467599395">
          <w:marLeft w:val="547"/>
          <w:marRight w:val="0"/>
          <w:marTop w:val="0"/>
          <w:marBottom w:val="0"/>
          <w:divBdr>
            <w:top w:val="none" w:sz="0" w:space="0" w:color="auto"/>
            <w:left w:val="none" w:sz="0" w:space="0" w:color="auto"/>
            <w:bottom w:val="none" w:sz="0" w:space="0" w:color="auto"/>
            <w:right w:val="none" w:sz="0" w:space="0" w:color="auto"/>
          </w:divBdr>
        </w:div>
        <w:div w:id="859510474">
          <w:marLeft w:val="547"/>
          <w:marRight w:val="0"/>
          <w:marTop w:val="0"/>
          <w:marBottom w:val="0"/>
          <w:divBdr>
            <w:top w:val="none" w:sz="0" w:space="0" w:color="auto"/>
            <w:left w:val="none" w:sz="0" w:space="0" w:color="auto"/>
            <w:bottom w:val="none" w:sz="0" w:space="0" w:color="auto"/>
            <w:right w:val="none" w:sz="0" w:space="0" w:color="auto"/>
          </w:divBdr>
        </w:div>
        <w:div w:id="183792499">
          <w:marLeft w:val="547"/>
          <w:marRight w:val="0"/>
          <w:marTop w:val="0"/>
          <w:marBottom w:val="0"/>
          <w:divBdr>
            <w:top w:val="none" w:sz="0" w:space="0" w:color="auto"/>
            <w:left w:val="none" w:sz="0" w:space="0" w:color="auto"/>
            <w:bottom w:val="none" w:sz="0" w:space="0" w:color="auto"/>
            <w:right w:val="none" w:sz="0" w:space="0" w:color="auto"/>
          </w:divBdr>
        </w:div>
        <w:div w:id="815879294">
          <w:marLeft w:val="547"/>
          <w:marRight w:val="0"/>
          <w:marTop w:val="0"/>
          <w:marBottom w:val="0"/>
          <w:divBdr>
            <w:top w:val="none" w:sz="0" w:space="0" w:color="auto"/>
            <w:left w:val="none" w:sz="0" w:space="0" w:color="auto"/>
            <w:bottom w:val="none" w:sz="0" w:space="0" w:color="auto"/>
            <w:right w:val="none" w:sz="0" w:space="0" w:color="auto"/>
          </w:divBdr>
        </w:div>
        <w:div w:id="1211922875">
          <w:marLeft w:val="547"/>
          <w:marRight w:val="0"/>
          <w:marTop w:val="0"/>
          <w:marBottom w:val="0"/>
          <w:divBdr>
            <w:top w:val="none" w:sz="0" w:space="0" w:color="auto"/>
            <w:left w:val="none" w:sz="0" w:space="0" w:color="auto"/>
            <w:bottom w:val="none" w:sz="0" w:space="0" w:color="auto"/>
            <w:right w:val="none" w:sz="0" w:space="0" w:color="auto"/>
          </w:divBdr>
        </w:div>
        <w:div w:id="1904439324">
          <w:marLeft w:val="547"/>
          <w:marRight w:val="0"/>
          <w:marTop w:val="0"/>
          <w:marBottom w:val="0"/>
          <w:divBdr>
            <w:top w:val="none" w:sz="0" w:space="0" w:color="auto"/>
            <w:left w:val="none" w:sz="0" w:space="0" w:color="auto"/>
            <w:bottom w:val="none" w:sz="0" w:space="0" w:color="auto"/>
            <w:right w:val="none" w:sz="0" w:space="0" w:color="auto"/>
          </w:divBdr>
        </w:div>
      </w:divsChild>
    </w:div>
    <w:div w:id="987707737">
      <w:bodyDiv w:val="1"/>
      <w:marLeft w:val="0"/>
      <w:marRight w:val="0"/>
      <w:marTop w:val="0"/>
      <w:marBottom w:val="0"/>
      <w:divBdr>
        <w:top w:val="none" w:sz="0" w:space="0" w:color="auto"/>
        <w:left w:val="none" w:sz="0" w:space="0" w:color="auto"/>
        <w:bottom w:val="none" w:sz="0" w:space="0" w:color="auto"/>
        <w:right w:val="none" w:sz="0" w:space="0" w:color="auto"/>
      </w:divBdr>
    </w:div>
    <w:div w:id="1273324999">
      <w:bodyDiv w:val="1"/>
      <w:marLeft w:val="0"/>
      <w:marRight w:val="0"/>
      <w:marTop w:val="0"/>
      <w:marBottom w:val="0"/>
      <w:divBdr>
        <w:top w:val="none" w:sz="0" w:space="0" w:color="auto"/>
        <w:left w:val="none" w:sz="0" w:space="0" w:color="auto"/>
        <w:bottom w:val="none" w:sz="0" w:space="0" w:color="auto"/>
        <w:right w:val="none" w:sz="0" w:space="0" w:color="auto"/>
      </w:divBdr>
    </w:div>
    <w:div w:id="17759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Angharad Rees</dc:creator>
  <cp:keywords/>
  <dc:description/>
  <cp:lastModifiedBy>Diana Ngina - Affiliate</cp:lastModifiedBy>
  <cp:revision>6</cp:revision>
  <cp:lastPrinted>2019-06-26T21:47:00Z</cp:lastPrinted>
  <dcterms:created xsi:type="dcterms:W3CDTF">2019-06-26T22:03:00Z</dcterms:created>
  <dcterms:modified xsi:type="dcterms:W3CDTF">2020-01-08T14:47:00Z</dcterms:modified>
</cp:coreProperties>
</file>